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32" w:type="dxa"/>
        <w:tblInd w:w="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832"/>
      </w:tblGrid>
      <w:tr w:rsidR="0034269A" w14:paraId="4C77246B" w14:textId="77777777" w:rsidTr="00A82697">
        <w:trPr>
          <w:trHeight w:val="13351"/>
        </w:trPr>
        <w:tc>
          <w:tcPr>
            <w:tcW w:w="9832" w:type="dxa"/>
            <w:shd w:val="clear" w:color="auto" w:fill="auto"/>
          </w:tcPr>
          <w:p w14:paraId="4683ACDD" w14:textId="77777777" w:rsidR="0034269A" w:rsidRDefault="0034269A" w:rsidP="00584DAB">
            <w:pPr>
              <w:pStyle w:val="Heading7"/>
              <w:tabs>
                <w:tab w:val="clear" w:pos="5549"/>
                <w:tab w:val="left" w:pos="6379"/>
              </w:tabs>
              <w:ind w:left="0" w:firstLine="0"/>
            </w:pPr>
            <w:bookmarkStart w:id="0" w:name="_GoBack"/>
            <w:bookmarkEnd w:id="0"/>
          </w:p>
          <w:p w14:paraId="448B82CF" w14:textId="77777777" w:rsidR="0034269A" w:rsidRDefault="0034269A" w:rsidP="00584DAB">
            <w:pPr>
              <w:jc w:val="right"/>
            </w:pPr>
          </w:p>
          <w:p w14:paraId="372627F3" w14:textId="77777777" w:rsidR="0034269A" w:rsidRDefault="0034269A" w:rsidP="00584DAB"/>
          <w:p w14:paraId="4DD76C91" w14:textId="77777777" w:rsidR="0034269A" w:rsidRDefault="0034269A" w:rsidP="00584DAB">
            <w:r>
              <w:object w:dxaOrig="15688" w:dyaOrig="1710" w14:anchorId="424361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pt;height:52.5pt" o:ole="">
                  <v:imagedata r:id="rId8" o:title=""/>
                </v:shape>
                <o:OLEObject Type="Embed" ProgID="MSPhotoEd.3" ShapeID="_x0000_i1025" DrawAspect="Content" ObjectID="_1653330245" r:id="rId9"/>
              </w:object>
            </w:r>
          </w:p>
          <w:p w14:paraId="5C6CE7F7" w14:textId="77777777" w:rsidR="0034269A" w:rsidRDefault="0034269A" w:rsidP="00584DAB">
            <w:pPr>
              <w:jc w:val="right"/>
            </w:pPr>
          </w:p>
          <w:p w14:paraId="590BE125" w14:textId="77777777" w:rsidR="0034269A" w:rsidRDefault="0034269A" w:rsidP="00584DAB"/>
          <w:tbl>
            <w:tblPr>
              <w:tblW w:w="0" w:type="auto"/>
              <w:tblInd w:w="744" w:type="dxa"/>
              <w:tblLook w:val="01E0" w:firstRow="1" w:lastRow="1" w:firstColumn="1" w:lastColumn="1" w:noHBand="0" w:noVBand="0"/>
            </w:tblPr>
            <w:tblGrid>
              <w:gridCol w:w="7870"/>
            </w:tblGrid>
            <w:tr w:rsidR="0034269A" w14:paraId="6C7B6968" w14:textId="77777777" w:rsidTr="00FA1971">
              <w:trPr>
                <w:trHeight w:val="7000"/>
              </w:trPr>
              <w:tc>
                <w:tcPr>
                  <w:tcW w:w="7870" w:type="dxa"/>
                  <w:shd w:val="clear" w:color="auto" w:fill="auto"/>
                </w:tcPr>
                <w:p w14:paraId="37C9304B" w14:textId="674867E8" w:rsidR="00845779" w:rsidRDefault="00845779" w:rsidP="00845779">
                  <w:pPr>
                    <w:autoSpaceDE w:val="0"/>
                    <w:autoSpaceDN w:val="0"/>
                    <w:adjustRightInd w:val="0"/>
                    <w:jc w:val="center"/>
                    <w:rPr>
                      <w:rFonts w:cs="Arial"/>
                      <w:b/>
                      <w:bCs/>
                      <w:color w:val="3333CC"/>
                      <w:sz w:val="43"/>
                      <w:szCs w:val="48"/>
                    </w:rPr>
                  </w:pPr>
                </w:p>
                <w:p w14:paraId="3C4E7DA5" w14:textId="77777777" w:rsidR="00845779" w:rsidRDefault="00845779" w:rsidP="00845779">
                  <w:pPr>
                    <w:autoSpaceDE w:val="0"/>
                    <w:autoSpaceDN w:val="0"/>
                    <w:adjustRightInd w:val="0"/>
                    <w:jc w:val="center"/>
                    <w:rPr>
                      <w:rFonts w:cs="Arial"/>
                      <w:b/>
                      <w:bCs/>
                      <w:color w:val="3333CC"/>
                      <w:sz w:val="43"/>
                      <w:szCs w:val="48"/>
                    </w:rPr>
                  </w:pPr>
                </w:p>
                <w:p w14:paraId="2A36F8F6" w14:textId="77777777" w:rsidR="00845779" w:rsidRDefault="00845779" w:rsidP="00845779">
                  <w:pPr>
                    <w:autoSpaceDE w:val="0"/>
                    <w:autoSpaceDN w:val="0"/>
                    <w:adjustRightInd w:val="0"/>
                    <w:jc w:val="center"/>
                    <w:rPr>
                      <w:rFonts w:cs="Arial"/>
                      <w:b/>
                      <w:bCs/>
                      <w:color w:val="3333CC"/>
                      <w:sz w:val="43"/>
                      <w:szCs w:val="48"/>
                    </w:rPr>
                  </w:pPr>
                </w:p>
                <w:p w14:paraId="19F9BCED" w14:textId="77777777" w:rsidR="00845779" w:rsidRDefault="00845779" w:rsidP="00845779">
                  <w:pPr>
                    <w:autoSpaceDE w:val="0"/>
                    <w:autoSpaceDN w:val="0"/>
                    <w:adjustRightInd w:val="0"/>
                    <w:jc w:val="center"/>
                    <w:rPr>
                      <w:rFonts w:cs="Arial"/>
                      <w:b/>
                      <w:bCs/>
                      <w:color w:val="3333CC"/>
                      <w:sz w:val="43"/>
                      <w:szCs w:val="48"/>
                    </w:rPr>
                  </w:pPr>
                </w:p>
                <w:p w14:paraId="77671A5D" w14:textId="77777777" w:rsidR="001B5EFF" w:rsidRDefault="001B5EFF" w:rsidP="00845779">
                  <w:pPr>
                    <w:autoSpaceDE w:val="0"/>
                    <w:autoSpaceDN w:val="0"/>
                    <w:adjustRightInd w:val="0"/>
                    <w:jc w:val="center"/>
                    <w:rPr>
                      <w:rFonts w:cs="Arial"/>
                      <w:b/>
                      <w:bCs/>
                      <w:color w:val="3333CC"/>
                      <w:sz w:val="43"/>
                      <w:szCs w:val="48"/>
                    </w:rPr>
                  </w:pPr>
                </w:p>
                <w:p w14:paraId="1CD1957C" w14:textId="77777777" w:rsidR="00845779" w:rsidRDefault="00845779" w:rsidP="00845779">
                  <w:pPr>
                    <w:autoSpaceDE w:val="0"/>
                    <w:autoSpaceDN w:val="0"/>
                    <w:adjustRightInd w:val="0"/>
                    <w:jc w:val="center"/>
                    <w:rPr>
                      <w:rFonts w:cs="Arial"/>
                      <w:b/>
                      <w:bCs/>
                      <w:color w:val="3333CC"/>
                      <w:sz w:val="43"/>
                      <w:szCs w:val="48"/>
                    </w:rPr>
                  </w:pPr>
                </w:p>
                <w:p w14:paraId="2F60712B" w14:textId="77777777" w:rsidR="00BB27FF" w:rsidRDefault="00BB27FF" w:rsidP="00845779">
                  <w:pPr>
                    <w:autoSpaceDE w:val="0"/>
                    <w:autoSpaceDN w:val="0"/>
                    <w:adjustRightInd w:val="0"/>
                    <w:jc w:val="center"/>
                    <w:rPr>
                      <w:rFonts w:cs="Arial"/>
                      <w:b/>
                      <w:bCs/>
                      <w:color w:val="3333CC"/>
                      <w:sz w:val="43"/>
                      <w:szCs w:val="48"/>
                    </w:rPr>
                  </w:pPr>
                </w:p>
                <w:p w14:paraId="40552EE2" w14:textId="065E6589" w:rsidR="007D02FD" w:rsidRDefault="001B5EFF" w:rsidP="00845779">
                  <w:pPr>
                    <w:autoSpaceDE w:val="0"/>
                    <w:autoSpaceDN w:val="0"/>
                    <w:adjustRightInd w:val="0"/>
                    <w:jc w:val="center"/>
                    <w:rPr>
                      <w:rFonts w:cs="Arial"/>
                      <w:b/>
                      <w:bCs/>
                      <w:color w:val="3333CC"/>
                      <w:sz w:val="43"/>
                      <w:szCs w:val="48"/>
                    </w:rPr>
                  </w:pPr>
                  <w:r>
                    <w:rPr>
                      <w:rFonts w:cs="Arial"/>
                      <w:b/>
                      <w:bCs/>
                      <w:color w:val="3333CC"/>
                      <w:sz w:val="43"/>
                      <w:szCs w:val="48"/>
                    </w:rPr>
                    <w:t xml:space="preserve">Internal Audit </w:t>
                  </w:r>
                </w:p>
                <w:p w14:paraId="36524D49" w14:textId="0E6BC6BC" w:rsidR="00D22061" w:rsidRDefault="00D22061" w:rsidP="00845779">
                  <w:pPr>
                    <w:autoSpaceDE w:val="0"/>
                    <w:autoSpaceDN w:val="0"/>
                    <w:adjustRightInd w:val="0"/>
                    <w:jc w:val="center"/>
                    <w:rPr>
                      <w:rFonts w:cs="Arial"/>
                      <w:b/>
                      <w:bCs/>
                      <w:color w:val="3333CC"/>
                      <w:sz w:val="43"/>
                      <w:szCs w:val="48"/>
                    </w:rPr>
                  </w:pPr>
                  <w:r>
                    <w:rPr>
                      <w:rFonts w:cs="Arial"/>
                      <w:b/>
                      <w:bCs/>
                      <w:color w:val="3333CC"/>
                      <w:sz w:val="43"/>
                      <w:szCs w:val="48"/>
                    </w:rPr>
                    <w:t>Head of Internal Audit</w:t>
                  </w:r>
                </w:p>
                <w:p w14:paraId="6E69FAB4" w14:textId="77777777" w:rsidR="001B5EFF" w:rsidRDefault="001B5EFF" w:rsidP="00845779">
                  <w:pPr>
                    <w:autoSpaceDE w:val="0"/>
                    <w:autoSpaceDN w:val="0"/>
                    <w:adjustRightInd w:val="0"/>
                    <w:jc w:val="center"/>
                    <w:rPr>
                      <w:rFonts w:cs="Arial"/>
                      <w:b/>
                      <w:bCs/>
                      <w:color w:val="3333CC"/>
                      <w:sz w:val="43"/>
                      <w:szCs w:val="48"/>
                    </w:rPr>
                  </w:pPr>
                  <w:r>
                    <w:rPr>
                      <w:rFonts w:cs="Arial"/>
                      <w:b/>
                      <w:bCs/>
                      <w:color w:val="3333CC"/>
                      <w:sz w:val="43"/>
                      <w:szCs w:val="48"/>
                    </w:rPr>
                    <w:t xml:space="preserve">Annual Report </w:t>
                  </w:r>
                </w:p>
                <w:p w14:paraId="5B80624F" w14:textId="5FC72F1B" w:rsidR="001B5EFF" w:rsidRPr="00836CF7" w:rsidRDefault="001B5EFF" w:rsidP="00845779">
                  <w:pPr>
                    <w:autoSpaceDE w:val="0"/>
                    <w:autoSpaceDN w:val="0"/>
                    <w:adjustRightInd w:val="0"/>
                    <w:jc w:val="center"/>
                    <w:rPr>
                      <w:rFonts w:cs="Arial"/>
                      <w:b/>
                      <w:bCs/>
                      <w:color w:val="3333CC"/>
                      <w:sz w:val="43"/>
                      <w:szCs w:val="48"/>
                    </w:rPr>
                  </w:pPr>
                  <w:r>
                    <w:rPr>
                      <w:rFonts w:cs="Arial"/>
                      <w:b/>
                      <w:bCs/>
                      <w:color w:val="3333CC"/>
                      <w:sz w:val="43"/>
                      <w:szCs w:val="48"/>
                    </w:rPr>
                    <w:t>2019/20</w:t>
                  </w:r>
                </w:p>
                <w:p w14:paraId="1EF47643" w14:textId="77777777" w:rsidR="00845779" w:rsidRPr="00836CF7" w:rsidRDefault="00845779" w:rsidP="00845779">
                  <w:pPr>
                    <w:autoSpaceDE w:val="0"/>
                    <w:autoSpaceDN w:val="0"/>
                    <w:adjustRightInd w:val="0"/>
                    <w:jc w:val="center"/>
                    <w:rPr>
                      <w:rFonts w:cs="Arial"/>
                      <w:b/>
                      <w:bCs/>
                      <w:color w:val="3333CC"/>
                      <w:sz w:val="43"/>
                      <w:szCs w:val="48"/>
                    </w:rPr>
                  </w:pPr>
                </w:p>
                <w:p w14:paraId="3E916FD1" w14:textId="77777777" w:rsidR="0034269A" w:rsidRDefault="0034269A" w:rsidP="001B5EFF">
                  <w:pPr>
                    <w:autoSpaceDE w:val="0"/>
                    <w:autoSpaceDN w:val="0"/>
                    <w:adjustRightInd w:val="0"/>
                    <w:jc w:val="center"/>
                  </w:pPr>
                </w:p>
              </w:tc>
            </w:tr>
          </w:tbl>
          <w:p w14:paraId="5587BBBB" w14:textId="77777777" w:rsidR="0034269A" w:rsidRDefault="0034269A" w:rsidP="00584DAB">
            <w:pPr>
              <w:tabs>
                <w:tab w:val="left" w:pos="2445"/>
              </w:tabs>
            </w:pPr>
            <w:r>
              <w:tab/>
            </w:r>
          </w:p>
          <w:p w14:paraId="5339E600" w14:textId="77777777" w:rsidR="0034269A" w:rsidRDefault="0034269A" w:rsidP="00584DAB">
            <w:pPr>
              <w:tabs>
                <w:tab w:val="left" w:pos="2445"/>
              </w:tabs>
            </w:pPr>
          </w:p>
          <w:p w14:paraId="6F396B82" w14:textId="77777777" w:rsidR="0034269A" w:rsidRDefault="0034269A" w:rsidP="00584DAB">
            <w:pPr>
              <w:tabs>
                <w:tab w:val="left" w:pos="2445"/>
              </w:tabs>
            </w:pPr>
          </w:p>
          <w:p w14:paraId="08DE4E72" w14:textId="77777777" w:rsidR="009932C2" w:rsidRDefault="009932C2" w:rsidP="00584DAB">
            <w:pPr>
              <w:tabs>
                <w:tab w:val="left" w:pos="2445"/>
              </w:tabs>
            </w:pPr>
          </w:p>
          <w:p w14:paraId="53741466" w14:textId="77777777" w:rsidR="0034269A" w:rsidRDefault="0034269A" w:rsidP="00584DAB">
            <w:pPr>
              <w:tabs>
                <w:tab w:val="left" w:pos="2445"/>
              </w:tabs>
            </w:pPr>
          </w:p>
          <w:p w14:paraId="273F749C" w14:textId="77777777" w:rsidR="0034269A" w:rsidRDefault="0034269A" w:rsidP="00584DAB">
            <w:pPr>
              <w:tabs>
                <w:tab w:val="left" w:pos="2445"/>
              </w:tabs>
            </w:pPr>
          </w:p>
          <w:p w14:paraId="48693932" w14:textId="77777777" w:rsidR="0034269A" w:rsidRDefault="0034269A" w:rsidP="00584DAB"/>
          <w:tbl>
            <w:tblPr>
              <w:tblpPr w:leftFromText="180" w:rightFromText="180" w:vertAnchor="text" w:horzAnchor="margin" w:tblpY="1720"/>
              <w:tblOverlap w:val="never"/>
              <w:tblW w:w="0" w:type="auto"/>
              <w:tblLook w:val="04A0" w:firstRow="1" w:lastRow="0" w:firstColumn="1" w:lastColumn="0" w:noHBand="0" w:noVBand="1"/>
            </w:tblPr>
            <w:tblGrid>
              <w:gridCol w:w="4800"/>
              <w:gridCol w:w="4801"/>
            </w:tblGrid>
            <w:tr w:rsidR="0034269A" w14:paraId="7B832CA6" w14:textId="77777777" w:rsidTr="00BB27FF">
              <w:trPr>
                <w:trHeight w:val="1756"/>
              </w:trPr>
              <w:tc>
                <w:tcPr>
                  <w:tcW w:w="4800" w:type="dxa"/>
                  <w:shd w:val="clear" w:color="auto" w:fill="auto"/>
                </w:tcPr>
                <w:p w14:paraId="07C419AB" w14:textId="77777777" w:rsidR="0034269A" w:rsidRDefault="0034269A" w:rsidP="00584DAB">
                  <w:pPr>
                    <w:tabs>
                      <w:tab w:val="left" w:pos="2445"/>
                    </w:tabs>
                  </w:pPr>
                </w:p>
                <w:p w14:paraId="09197B2F" w14:textId="77777777" w:rsidR="0034269A" w:rsidRDefault="0034269A" w:rsidP="00584DAB">
                  <w:pPr>
                    <w:tabs>
                      <w:tab w:val="left" w:pos="2445"/>
                    </w:tabs>
                  </w:pPr>
                </w:p>
                <w:p w14:paraId="6A98E61E" w14:textId="77777777" w:rsidR="0020024F" w:rsidRDefault="0020024F" w:rsidP="00E26FAE">
                  <w:pPr>
                    <w:tabs>
                      <w:tab w:val="left" w:pos="2445"/>
                    </w:tabs>
                  </w:pPr>
                </w:p>
              </w:tc>
              <w:tc>
                <w:tcPr>
                  <w:tcW w:w="4801" w:type="dxa"/>
                  <w:shd w:val="clear" w:color="auto" w:fill="auto"/>
                </w:tcPr>
                <w:p w14:paraId="06C0F786" w14:textId="167D6A33" w:rsidR="0034269A" w:rsidRDefault="0034269A" w:rsidP="00584DAB">
                  <w:pPr>
                    <w:tabs>
                      <w:tab w:val="left" w:pos="2445"/>
                    </w:tabs>
                    <w:jc w:val="right"/>
                    <w:rPr>
                      <w:rFonts w:eastAsia="Arial"/>
                      <w:noProof/>
                    </w:rPr>
                  </w:pPr>
                </w:p>
                <w:p w14:paraId="33E4955D" w14:textId="77777777" w:rsidR="00DA2B27" w:rsidRDefault="00DA2B27" w:rsidP="00584DAB">
                  <w:pPr>
                    <w:tabs>
                      <w:tab w:val="left" w:pos="2445"/>
                    </w:tabs>
                    <w:jc w:val="right"/>
                    <w:rPr>
                      <w:rFonts w:eastAsia="Arial"/>
                      <w:lang w:eastAsia="en-US"/>
                    </w:rPr>
                  </w:pPr>
                </w:p>
                <w:p w14:paraId="6342E7C6" w14:textId="77777777" w:rsidR="00DA2B27" w:rsidRDefault="00DA2B27" w:rsidP="00584DAB">
                  <w:pPr>
                    <w:tabs>
                      <w:tab w:val="left" w:pos="2445"/>
                    </w:tabs>
                    <w:jc w:val="right"/>
                    <w:rPr>
                      <w:rFonts w:eastAsia="Arial"/>
                      <w:lang w:eastAsia="en-US"/>
                    </w:rPr>
                  </w:pPr>
                </w:p>
                <w:p w14:paraId="18C292B7" w14:textId="77777777" w:rsidR="00DA2B27" w:rsidRDefault="00DA2B27" w:rsidP="00584DAB">
                  <w:pPr>
                    <w:tabs>
                      <w:tab w:val="left" w:pos="2445"/>
                    </w:tabs>
                    <w:jc w:val="right"/>
                  </w:pPr>
                </w:p>
              </w:tc>
            </w:tr>
          </w:tbl>
          <w:p w14:paraId="7254E904" w14:textId="77777777" w:rsidR="0034269A" w:rsidRPr="00B115E5" w:rsidRDefault="0034269A" w:rsidP="00584DAB">
            <w:pPr>
              <w:rPr>
                <w:vanish/>
                <w:specVanish/>
              </w:rPr>
            </w:pPr>
          </w:p>
          <w:p w14:paraId="3E7C4374" w14:textId="77777777" w:rsidR="00BB27FF" w:rsidRDefault="0034269A" w:rsidP="00584DAB">
            <w:r>
              <w:t xml:space="preserve">                      </w:t>
            </w:r>
          </w:p>
          <w:p w14:paraId="40347C80" w14:textId="77777777" w:rsidR="00BB27FF" w:rsidRDefault="00BB27FF" w:rsidP="00584DAB"/>
          <w:p w14:paraId="38991FA7" w14:textId="4F096DF7" w:rsidR="00BB27FF" w:rsidRDefault="00E26FAE" w:rsidP="00584DAB">
            <w:r w:rsidRPr="00E26FAE">
              <w:rPr>
                <w:rFonts w:ascii="Calibri" w:eastAsia="Calibri" w:hAnsi="Calibri"/>
                <w:noProof/>
              </w:rPr>
              <mc:AlternateContent>
                <mc:Choice Requires="wps">
                  <w:drawing>
                    <wp:anchor distT="0" distB="0" distL="114300" distR="114300" simplePos="0" relativeHeight="251658240" behindDoc="0" locked="0" layoutInCell="1" allowOverlap="1" wp14:anchorId="60EB3CCB" wp14:editId="60AB59C9">
                      <wp:simplePos x="0" y="0"/>
                      <wp:positionH relativeFrom="column">
                        <wp:posOffset>2837815</wp:posOffset>
                      </wp:positionH>
                      <wp:positionV relativeFrom="paragraph">
                        <wp:posOffset>114935</wp:posOffset>
                      </wp:positionV>
                      <wp:extent cx="3021907" cy="270528"/>
                      <wp:effectExtent l="0" t="0" r="0" b="0"/>
                      <wp:wrapNone/>
                      <wp:docPr id="199" name="Rectangle 199"/>
                      <wp:cNvGraphicFramePr/>
                      <a:graphic xmlns:a="http://schemas.openxmlformats.org/drawingml/2006/main">
                        <a:graphicData uri="http://schemas.microsoft.com/office/word/2010/wordprocessingShape">
                          <wps:wsp>
                            <wps:cNvSpPr/>
                            <wps:spPr>
                              <a:xfrm>
                                <a:off x="0" y="0"/>
                                <a:ext cx="3021907" cy="270528"/>
                              </a:xfrm>
                              <a:prstGeom prst="rect">
                                <a:avLst/>
                              </a:prstGeom>
                              <a:solidFill>
                                <a:srgbClr val="5B9BD5"/>
                              </a:solidFill>
                              <a:ln w="12700" cap="flat" cmpd="sng" algn="ctr">
                                <a:noFill/>
                                <a:prstDash val="solid"/>
                                <a:miter lim="800000"/>
                              </a:ln>
                              <a:effectLst/>
                            </wps:spPr>
                            <wps:txbx>
                              <w:txbxContent>
                                <w:p w14:paraId="33818CF5" w14:textId="77777777" w:rsidR="00483028" w:rsidRPr="00E26FAE" w:rsidRDefault="00483028" w:rsidP="00E26FAE">
                                  <w:pPr>
                                    <w:jc w:val="center"/>
                                    <w:rPr>
                                      <w:rFonts w:ascii="Calibri Light" w:hAnsi="Calibri Light"/>
                                      <w:b/>
                                      <w:sz w:val="28"/>
                                      <w:szCs w:val="28"/>
                                    </w:rPr>
                                  </w:pPr>
                                  <w:r w:rsidRPr="00E26FAE">
                                    <w:rPr>
                                      <w:rFonts w:ascii="Calibri Light" w:hAnsi="Calibri Light"/>
                                      <w:b/>
                                      <w:sz w:val="28"/>
                                      <w:szCs w:val="28"/>
                                    </w:rPr>
                                    <w:t>Author &amp; Date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EB3CCB" id="Rectangle 199" o:spid="_x0000_s1026" style="position:absolute;margin-left:223.45pt;margin-top:9.05pt;width:237.95pt;height:21.3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G/zcQIAANcEAAAOAAAAZHJzL2Uyb0RvYy54bWysVE1P3DAQvVfqf7B8L8lu2cJGZNHCiqoS&#10;AgRUnGcdO7Hkr9reTeiv79jJAqU9Vc3BmfFM5nme3+TsfNCK7LkP0pqazo5KSrhhtpGmren3x6tP&#10;p5SECKYBZQ2v6TMP9Hz18cNZ7yo+t51VDfcEi5hQ9a6mXYyuKorAOq4hHFnHDQaF9Roiur4tGg89&#10;VteqmJfll6K3vnHeMh4C7m7GIF3l+kJwFm+FCDwSVVM8W8yrz+s2rcXqDKrWg+skm44B/3AKDdIg&#10;6EupDUQgOy//KKUl8zZYEY+Y1YUVQjKee8BuZuW7bh46cDz3guQE90JT+H9l2c3+zhPZ4N0tl5QY&#10;0HhJ90gbmFZxkjaRot6FCjMf3J2fvIBm6ncQXqc3dkKGTOvzC618iITh5udyPluWJ5QwjM1PysX8&#10;NBUtXr92PsSv3GqSjJp6xM9swv46xDH1kJLAglWyuZJKZce320vlyR7wihcXy4vNYqr+W5oypMcm&#10;ER5lwAClJhRENLXD5oNpKQHVooZZ9Bnb2ISA4FAl7A2EbsTIZRMEVFpGVK+SuqanZXomZGVSlGf9&#10;TR0kCkfSkhWH7YAVkrm1zTNegbejNoNjVxLxriHEO/AoRjwvDli8xUUoi03YyaKks/7n3/ZTPmoE&#10;o5T0KG5s8McOPKdEfTOonuXs+DhNQ3aOFydzdPzbyPZtxOz0pUVyZzjKjmUz5Ud1MIW3+gnncJ1Q&#10;MQSGIfZI5eRcxnHocJIZX69zGk6Ag3htHhxLxQ9MPw5P4N0khYgiurGHQYDqnSLG3PSlsetdtEJm&#10;ubzyijJLDk5PFtw06Wk83/o56/V/tPoFAAD//wMAUEsDBBQABgAIAAAAIQBG1cMe3gAAAAkBAAAP&#10;AAAAZHJzL2Rvd25yZXYueG1sTI/BTsMwEETvSPyDtUjcqJ1Q0jbEqRAITgiJ0gNHN94mUeN1ZLtt&#10;+vcsJziu5mn2TbWe3CBOGGLvSUM2UyCQGm97ajVsv17vliBiMmTN4Ak1XDDCur6+qkxp/Zk+8bRJ&#10;reASiqXR0KU0llLGpkNn4syPSJztfXAm8RlaaYM5c7kbZK5UIZ3piT90ZsTnDpvD5ug0LJJ6uaj7&#10;74/3t+wh7KfskAq/1fr2Znp6BJFwSn8w/OqzOtTstPNHslEMGubzYsUoB8sMBAOrPOctOw2FWoCs&#10;K/l/Qf0DAAD//wMAUEsBAi0AFAAGAAgAAAAhALaDOJL+AAAA4QEAABMAAAAAAAAAAAAAAAAAAAAA&#10;AFtDb250ZW50X1R5cGVzXS54bWxQSwECLQAUAAYACAAAACEAOP0h/9YAAACUAQAACwAAAAAAAAAA&#10;AAAAAAAvAQAAX3JlbHMvLnJlbHNQSwECLQAUAAYACAAAACEAnqRv83ECAADXBAAADgAAAAAAAAAA&#10;AAAAAAAuAgAAZHJzL2Uyb0RvYy54bWxQSwECLQAUAAYACAAAACEARtXDHt4AAAAJAQAADwAAAAAA&#10;AAAAAAAAAADLBAAAZHJzL2Rvd25yZXYueG1sUEsFBgAAAAAEAAQA8wAAANYFAAAAAA==&#10;" fillcolor="#5b9bd5" stroked="f" strokeweight="1pt">
                      <v:textbox>
                        <w:txbxContent>
                          <w:p w14:paraId="33818CF5" w14:textId="77777777" w:rsidR="00483028" w:rsidRPr="00E26FAE" w:rsidRDefault="00483028" w:rsidP="00E26FAE">
                            <w:pPr>
                              <w:jc w:val="center"/>
                              <w:rPr>
                                <w:rFonts w:ascii="Calibri Light" w:hAnsi="Calibri Light"/>
                                <w:b/>
                                <w:sz w:val="28"/>
                                <w:szCs w:val="28"/>
                              </w:rPr>
                            </w:pPr>
                            <w:r w:rsidRPr="00E26FAE">
                              <w:rPr>
                                <w:rFonts w:ascii="Calibri Light" w:hAnsi="Calibri Light"/>
                                <w:b/>
                                <w:sz w:val="28"/>
                                <w:szCs w:val="28"/>
                              </w:rPr>
                              <w:t>Author &amp; Date</w:t>
                            </w:r>
                          </w:p>
                        </w:txbxContent>
                      </v:textbox>
                    </v:rect>
                  </w:pict>
                </mc:Fallback>
              </mc:AlternateContent>
            </w:r>
          </w:p>
          <w:p w14:paraId="65602BBF" w14:textId="4E41D807" w:rsidR="00BB27FF" w:rsidRDefault="00BB27FF" w:rsidP="00584DAB"/>
          <w:p w14:paraId="357B35AC" w14:textId="07B26C5F" w:rsidR="00BB27FF" w:rsidRDefault="00E26FAE" w:rsidP="00584DAB">
            <w:r w:rsidRPr="00E26FAE">
              <w:rPr>
                <w:rFonts w:ascii="Calibri" w:eastAsia="Calibri" w:hAnsi="Calibri"/>
                <w:noProof/>
              </w:rPr>
              <mc:AlternateContent>
                <mc:Choice Requires="wps">
                  <w:drawing>
                    <wp:anchor distT="0" distB="0" distL="114300" distR="114300" simplePos="0" relativeHeight="251658241" behindDoc="0" locked="0" layoutInCell="1" allowOverlap="1" wp14:anchorId="01F09C47" wp14:editId="7B4BF7D3">
                      <wp:simplePos x="0" y="0"/>
                      <wp:positionH relativeFrom="column">
                        <wp:posOffset>2837815</wp:posOffset>
                      </wp:positionH>
                      <wp:positionV relativeFrom="paragraph">
                        <wp:posOffset>119380</wp:posOffset>
                      </wp:positionV>
                      <wp:extent cx="3021330" cy="1131570"/>
                      <wp:effectExtent l="0" t="0" r="0" b="11430"/>
                      <wp:wrapNone/>
                      <wp:docPr id="200" name="Text Box 200"/>
                      <wp:cNvGraphicFramePr/>
                      <a:graphic xmlns:a="http://schemas.openxmlformats.org/drawingml/2006/main">
                        <a:graphicData uri="http://schemas.microsoft.com/office/word/2010/wordprocessingShape">
                          <wps:wsp>
                            <wps:cNvSpPr txBox="1"/>
                            <wps:spPr>
                              <a:xfrm>
                                <a:off x="0" y="0"/>
                                <a:ext cx="3021330" cy="1131570"/>
                              </a:xfrm>
                              <a:prstGeom prst="rect">
                                <a:avLst/>
                              </a:prstGeom>
                              <a:noFill/>
                              <a:ln w="6350">
                                <a:noFill/>
                              </a:ln>
                              <a:effectLst/>
                            </wps:spPr>
                            <wps:txbx>
                              <w:txbxContent>
                                <w:p w14:paraId="004CDAA2" w14:textId="2268C217" w:rsidR="00483028" w:rsidRPr="00E26FAE" w:rsidRDefault="00483028" w:rsidP="00E26FAE">
                                  <w:pPr>
                                    <w:rPr>
                                      <w:rFonts w:asciiTheme="minorHAnsi" w:hAnsiTheme="minorHAnsi"/>
                                      <w:b/>
                                      <w:sz w:val="26"/>
                                      <w:szCs w:val="26"/>
                                    </w:rPr>
                                  </w:pPr>
                                  <w:r w:rsidRPr="00E26FAE">
                                    <w:rPr>
                                      <w:rFonts w:asciiTheme="minorHAnsi" w:hAnsiTheme="minorHAnsi"/>
                                      <w:b/>
                                      <w:sz w:val="26"/>
                                      <w:szCs w:val="26"/>
                                    </w:rPr>
                                    <w:t>Janice Bamber</w:t>
                                  </w:r>
                                </w:p>
                                <w:p w14:paraId="1F6C170D" w14:textId="77777777" w:rsidR="00483028" w:rsidRDefault="00483028" w:rsidP="00E26FAE">
                                  <w:pPr>
                                    <w:rPr>
                                      <w:rFonts w:asciiTheme="minorHAnsi" w:hAnsiTheme="minorHAnsi"/>
                                      <w:b/>
                                      <w:sz w:val="26"/>
                                      <w:szCs w:val="26"/>
                                    </w:rPr>
                                  </w:pPr>
                                  <w:r w:rsidRPr="00E26FAE">
                                    <w:rPr>
                                      <w:rFonts w:asciiTheme="minorHAnsi" w:hAnsiTheme="minorHAnsi"/>
                                      <w:b/>
                                      <w:sz w:val="26"/>
                                      <w:szCs w:val="26"/>
                                    </w:rPr>
                                    <w:t>Interim Head of Shared Assurance</w:t>
                                  </w:r>
                                </w:p>
                                <w:p w14:paraId="19D89B6B" w14:textId="17840F0D" w:rsidR="00483028" w:rsidRDefault="00483028" w:rsidP="00E26FAE">
                                  <w:pPr>
                                    <w:rPr>
                                      <w:rFonts w:asciiTheme="minorHAnsi" w:hAnsiTheme="minorHAnsi"/>
                                      <w:b/>
                                      <w:sz w:val="26"/>
                                      <w:szCs w:val="26"/>
                                    </w:rPr>
                                  </w:pPr>
                                  <w:r>
                                    <w:rPr>
                                      <w:rFonts w:asciiTheme="minorHAnsi" w:hAnsiTheme="minorHAnsi"/>
                                      <w:b/>
                                      <w:sz w:val="26"/>
                                      <w:szCs w:val="26"/>
                                    </w:rPr>
                                    <w:t>6</w:t>
                                  </w:r>
                                  <w:r w:rsidRPr="001B5EFF">
                                    <w:rPr>
                                      <w:rFonts w:asciiTheme="minorHAnsi" w:hAnsiTheme="minorHAnsi"/>
                                      <w:b/>
                                      <w:sz w:val="26"/>
                                      <w:szCs w:val="26"/>
                                      <w:vertAlign w:val="superscript"/>
                                    </w:rPr>
                                    <w:t>th</w:t>
                                  </w:r>
                                  <w:r>
                                    <w:rPr>
                                      <w:rFonts w:asciiTheme="minorHAnsi" w:hAnsiTheme="minorHAnsi"/>
                                      <w:b/>
                                      <w:sz w:val="26"/>
                                      <w:szCs w:val="26"/>
                                    </w:rPr>
                                    <w:t xml:space="preserve"> June 2020</w:t>
                                  </w:r>
                                </w:p>
                                <w:p w14:paraId="4DAA40C8" w14:textId="77777777" w:rsidR="00483028" w:rsidRPr="00E26FAE" w:rsidRDefault="00483028" w:rsidP="00E26FAE">
                                  <w:pPr>
                                    <w:rPr>
                                      <w:rFonts w:asciiTheme="minorHAnsi" w:hAnsiTheme="minorHAnsi"/>
                                      <w:b/>
                                      <w:sz w:val="26"/>
                                      <w:szCs w:val="26"/>
                                    </w:rPr>
                                  </w:pPr>
                                </w:p>
                              </w:txbxContent>
                            </wps:txbx>
                            <wps:bodyPr rot="0" spcFirstLastPara="0" vertOverflow="overflow" horzOverflow="overflow" vert="horz" wrap="square" lIns="91440" tIns="9144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F09C47" id="_x0000_t202" coordsize="21600,21600" o:spt="202" path="m,l,21600r21600,l21600,xe">
                      <v:stroke joinstyle="miter"/>
                      <v:path gradientshapeok="t" o:connecttype="rect"/>
                    </v:shapetype>
                    <v:shape id="Text Box 200" o:spid="_x0000_s1027" type="#_x0000_t202" style="position:absolute;margin-left:223.45pt;margin-top:9.4pt;width:237.9pt;height:89.1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nG3NQIAAGkEAAAOAAAAZHJzL2Uyb0RvYy54bWysVF1v2jAUfZ+0/2D5fSSBtusQoWKtmCZV&#10;bSWY+mwch0RKfD3bkLBfv2MHKOr2NO3F+H7k+N5z7mV217cN2yvratI5z0YpZ0pLKmq9zfmP9fLT&#10;LWfOC12IhrTK+UE5fjf/+GHWmakaU0VNoSwDiHbTzuS88t5Mk8TJSrXCjcgojWBJthUept0mhRUd&#10;0NsmGafpTdKRLYwlqZyD92EI8nnEL0sl/XNZOuVZk3PU5uNp47kJZzKfienWClPV8liG+IcqWlFr&#10;PHqGehBesJ2t/4Bqa2nJUelHktqEyrKWKvaAbrL0XTerShgVewE5zpxpcv8PVj7tXyyri5yDTc60&#10;aCHSWvWefaWeBR8Y6oybInFlkOp7BKD0ye/gDI33pW3DL1piiAPrcOY3wEk4J+k4m0wQkohl2SS7&#10;/hzxk7fPjXX+m6KWhUvOLQSMvIr9o/MoBamnlPCapmXdNFHERrMu5zeT6zR+cI7gi0aHXBXH4QgT&#10;WhpKDzffb/pIwrmtDRUHdGtpmBhn5LJGRY/C+RdhMSLoAmPvn3GUDeFlOt44q8j++ps/5EM5RDnr&#10;MHI5dz93wirOmu8amn7Jrq4A6y8Ne2lsooEUvWvvCROdYbmMjFd4rW9O19JS+4rNWIQXERJa4t2c&#10;S29Pxr0f1gC7JdViEdMwk0b4R70yMoAH1gLb6/5VWHOUxEPNJzqNppi+U2bIHbRZ7DyVdZQtsDxw&#10;Cg2DgXmOah53LyzMpR2z3v4h5r8BAAD//wMAUEsDBBQABgAIAAAAIQC1ogsT3gAAAAoBAAAPAAAA&#10;ZHJzL2Rvd25yZXYueG1sTI/BTsMwEETvSPyDtUjcqE1UtU2IU6FKiEsvtKBet/E2TontELtN+HuW&#10;Exx35ml2plxPrhNXGmIbvIbHmQJBvg6m9Y2G9/3LwwpETOgNdsGThm+KsK5ub0osTBj9G113qREc&#10;4mOBGmxKfSFlrC05jLPQk2fvFAaHic+hkWbAkcNdJzOlFtJh6/mDxZ42lurP3cVp2A5fr+eD/ejH&#10;c1QHpP12g6eo9f3d9PwEItGU/mD4rc/VoeJOx3DxJopOw3y+yBllY8UTGMizbAniyEK+VCCrUv6f&#10;UP0AAAD//wMAUEsBAi0AFAAGAAgAAAAhALaDOJL+AAAA4QEAABMAAAAAAAAAAAAAAAAAAAAAAFtD&#10;b250ZW50X1R5cGVzXS54bWxQSwECLQAUAAYACAAAACEAOP0h/9YAAACUAQAACwAAAAAAAAAAAAAA&#10;AAAvAQAAX3JlbHMvLnJlbHNQSwECLQAUAAYACAAAACEA30ZxtzUCAABpBAAADgAAAAAAAAAAAAAA&#10;AAAuAgAAZHJzL2Uyb0RvYy54bWxQSwECLQAUAAYACAAAACEAtaILE94AAAAKAQAADwAAAAAAAAAA&#10;AAAAAACPBAAAZHJzL2Rvd25yZXYueG1sUEsFBgAAAAAEAAQA8wAAAJoFAAAAAA==&#10;" filled="f" stroked="f" strokeweight=".5pt">
                      <v:textbox inset=",7.2pt,,0">
                        <w:txbxContent>
                          <w:p w14:paraId="004CDAA2" w14:textId="2268C217" w:rsidR="00483028" w:rsidRPr="00E26FAE" w:rsidRDefault="00483028" w:rsidP="00E26FAE">
                            <w:pPr>
                              <w:rPr>
                                <w:rFonts w:asciiTheme="minorHAnsi" w:hAnsiTheme="minorHAnsi"/>
                                <w:b/>
                                <w:sz w:val="26"/>
                                <w:szCs w:val="26"/>
                              </w:rPr>
                            </w:pPr>
                            <w:r w:rsidRPr="00E26FAE">
                              <w:rPr>
                                <w:rFonts w:asciiTheme="minorHAnsi" w:hAnsiTheme="minorHAnsi"/>
                                <w:b/>
                                <w:sz w:val="26"/>
                                <w:szCs w:val="26"/>
                              </w:rPr>
                              <w:t>Janice Bamber</w:t>
                            </w:r>
                          </w:p>
                          <w:p w14:paraId="1F6C170D" w14:textId="77777777" w:rsidR="00483028" w:rsidRDefault="00483028" w:rsidP="00E26FAE">
                            <w:pPr>
                              <w:rPr>
                                <w:rFonts w:asciiTheme="minorHAnsi" w:hAnsiTheme="minorHAnsi"/>
                                <w:b/>
                                <w:sz w:val="26"/>
                                <w:szCs w:val="26"/>
                              </w:rPr>
                            </w:pPr>
                            <w:r w:rsidRPr="00E26FAE">
                              <w:rPr>
                                <w:rFonts w:asciiTheme="minorHAnsi" w:hAnsiTheme="minorHAnsi"/>
                                <w:b/>
                                <w:sz w:val="26"/>
                                <w:szCs w:val="26"/>
                              </w:rPr>
                              <w:t>Interim Head of Shared Assurance</w:t>
                            </w:r>
                          </w:p>
                          <w:p w14:paraId="19D89B6B" w14:textId="17840F0D" w:rsidR="00483028" w:rsidRDefault="00483028" w:rsidP="00E26FAE">
                            <w:pPr>
                              <w:rPr>
                                <w:rFonts w:asciiTheme="minorHAnsi" w:hAnsiTheme="minorHAnsi"/>
                                <w:b/>
                                <w:sz w:val="26"/>
                                <w:szCs w:val="26"/>
                              </w:rPr>
                            </w:pPr>
                            <w:r>
                              <w:rPr>
                                <w:rFonts w:asciiTheme="minorHAnsi" w:hAnsiTheme="minorHAnsi"/>
                                <w:b/>
                                <w:sz w:val="26"/>
                                <w:szCs w:val="26"/>
                              </w:rPr>
                              <w:t>6</w:t>
                            </w:r>
                            <w:r w:rsidRPr="001B5EFF">
                              <w:rPr>
                                <w:rFonts w:asciiTheme="minorHAnsi" w:hAnsiTheme="minorHAnsi"/>
                                <w:b/>
                                <w:sz w:val="26"/>
                                <w:szCs w:val="26"/>
                                <w:vertAlign w:val="superscript"/>
                              </w:rPr>
                              <w:t>th</w:t>
                            </w:r>
                            <w:r>
                              <w:rPr>
                                <w:rFonts w:asciiTheme="minorHAnsi" w:hAnsiTheme="minorHAnsi"/>
                                <w:b/>
                                <w:sz w:val="26"/>
                                <w:szCs w:val="26"/>
                              </w:rPr>
                              <w:t xml:space="preserve"> June 2020</w:t>
                            </w:r>
                          </w:p>
                          <w:p w14:paraId="4DAA40C8" w14:textId="77777777" w:rsidR="00483028" w:rsidRPr="00E26FAE" w:rsidRDefault="00483028" w:rsidP="00E26FAE">
                            <w:pPr>
                              <w:rPr>
                                <w:rFonts w:asciiTheme="minorHAnsi" w:hAnsiTheme="minorHAnsi"/>
                                <w:b/>
                                <w:sz w:val="26"/>
                                <w:szCs w:val="26"/>
                              </w:rPr>
                            </w:pPr>
                          </w:p>
                        </w:txbxContent>
                      </v:textbox>
                    </v:shape>
                  </w:pict>
                </mc:Fallback>
              </mc:AlternateContent>
            </w:r>
          </w:p>
          <w:p w14:paraId="52C6E7EB" w14:textId="2CC11E41" w:rsidR="0034269A" w:rsidRDefault="0034269A" w:rsidP="00584DAB">
            <w:r>
              <w:t xml:space="preserve">                                                                            </w:t>
            </w:r>
          </w:p>
          <w:p w14:paraId="33BBF372" w14:textId="77777777" w:rsidR="0034269A" w:rsidRPr="00774BEB" w:rsidRDefault="0034269A" w:rsidP="00584DAB">
            <w:r>
              <w:t xml:space="preserve">              </w:t>
            </w:r>
          </w:p>
        </w:tc>
      </w:tr>
    </w:tbl>
    <w:p w14:paraId="11BD0C11" w14:textId="77777777" w:rsidR="00A82697" w:rsidRDefault="00A82697"/>
    <w:tbl>
      <w:tblPr>
        <w:tblW w:w="10773" w:type="dxa"/>
        <w:tblInd w:w="-45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851"/>
        <w:gridCol w:w="9922"/>
      </w:tblGrid>
      <w:tr w:rsidR="00E03413" w:rsidRPr="00D30D54" w14:paraId="5B9386F1" w14:textId="77777777" w:rsidTr="00E23361">
        <w:trPr>
          <w:trHeight w:val="432"/>
        </w:trPr>
        <w:tc>
          <w:tcPr>
            <w:tcW w:w="851" w:type="dxa"/>
            <w:tcBorders>
              <w:bottom w:val="single" w:sz="6" w:space="0" w:color="auto"/>
            </w:tcBorders>
            <w:shd w:val="clear" w:color="auto" w:fill="B8CCE4" w:themeFill="accent1" w:themeFillTint="66"/>
            <w:vAlign w:val="center"/>
          </w:tcPr>
          <w:p w14:paraId="1C84B0EF" w14:textId="77777777" w:rsidR="00E03413" w:rsidRPr="00D30D54" w:rsidRDefault="00E03413" w:rsidP="006B7445">
            <w:pPr>
              <w:jc w:val="center"/>
              <w:rPr>
                <w:b/>
              </w:rPr>
            </w:pPr>
            <w:r>
              <w:rPr>
                <w:b/>
              </w:rPr>
              <w:t>1</w:t>
            </w:r>
          </w:p>
        </w:tc>
        <w:tc>
          <w:tcPr>
            <w:tcW w:w="9922" w:type="dxa"/>
            <w:tcBorders>
              <w:bottom w:val="single" w:sz="6" w:space="0" w:color="auto"/>
            </w:tcBorders>
            <w:shd w:val="clear" w:color="auto" w:fill="B8CCE4" w:themeFill="accent1" w:themeFillTint="66"/>
            <w:vAlign w:val="center"/>
          </w:tcPr>
          <w:p w14:paraId="2984829D" w14:textId="1268AB50" w:rsidR="00E03413" w:rsidRPr="00D30D54" w:rsidRDefault="00E6544D" w:rsidP="00E03413">
            <w:pPr>
              <w:rPr>
                <w:b/>
              </w:rPr>
            </w:pPr>
            <w:r>
              <w:rPr>
                <w:b/>
              </w:rPr>
              <w:t>INTRODUCTION / PURPOSE OF REPORT</w:t>
            </w:r>
          </w:p>
        </w:tc>
      </w:tr>
      <w:tr w:rsidR="00E23361" w:rsidRPr="00D30D54" w14:paraId="34627EFD" w14:textId="77777777" w:rsidTr="00E23361">
        <w:tc>
          <w:tcPr>
            <w:tcW w:w="851" w:type="dxa"/>
            <w:tcBorders>
              <w:top w:val="single" w:sz="6" w:space="0" w:color="auto"/>
              <w:bottom w:val="nil"/>
            </w:tcBorders>
          </w:tcPr>
          <w:p w14:paraId="742E1D9A" w14:textId="41AE8C39" w:rsidR="00E23361" w:rsidRPr="00F31D31" w:rsidRDefault="00E23361" w:rsidP="00E6544D">
            <w:pPr>
              <w:spacing w:before="120" w:after="120"/>
              <w:jc w:val="center"/>
              <w:rPr>
                <w:sz w:val="20"/>
                <w:szCs w:val="20"/>
              </w:rPr>
            </w:pPr>
            <w:r>
              <w:rPr>
                <w:sz w:val="20"/>
                <w:szCs w:val="20"/>
              </w:rPr>
              <w:t>1.1</w:t>
            </w:r>
          </w:p>
        </w:tc>
        <w:tc>
          <w:tcPr>
            <w:tcW w:w="9922" w:type="dxa"/>
            <w:tcBorders>
              <w:top w:val="single" w:sz="6" w:space="0" w:color="auto"/>
              <w:bottom w:val="nil"/>
            </w:tcBorders>
          </w:tcPr>
          <w:p w14:paraId="28327FED" w14:textId="25288AAA" w:rsidR="00E23361" w:rsidRPr="00E6544D" w:rsidRDefault="00E23361" w:rsidP="00E23361">
            <w:pPr>
              <w:pStyle w:val="Default"/>
              <w:spacing w:before="120" w:after="120"/>
              <w:rPr>
                <w:iCs/>
                <w:sz w:val="20"/>
                <w:szCs w:val="20"/>
              </w:rPr>
            </w:pPr>
            <w:r>
              <w:rPr>
                <w:iCs/>
                <w:sz w:val="20"/>
                <w:szCs w:val="20"/>
              </w:rPr>
              <w:t xml:space="preserve">The Public Sector Internal Audit Standards </w:t>
            </w:r>
            <w:r w:rsidRPr="00E23361">
              <w:rPr>
                <w:iCs/>
                <w:sz w:val="20"/>
                <w:szCs w:val="20"/>
              </w:rPr>
              <w:t>require that the Head of Internal Audit provide an opinion on the adequacy and effectiveness of the Council’s framework of governance, risk management and control, this includes an opinion on the level of assurance provided in the overall control environment</w:t>
            </w:r>
            <w:r>
              <w:rPr>
                <w:iCs/>
                <w:sz w:val="20"/>
                <w:szCs w:val="20"/>
              </w:rPr>
              <w:t>.</w:t>
            </w:r>
          </w:p>
        </w:tc>
      </w:tr>
      <w:tr w:rsidR="00E03413" w:rsidRPr="00D30D54" w14:paraId="23E2F72D" w14:textId="77777777" w:rsidTr="00E23361">
        <w:tc>
          <w:tcPr>
            <w:tcW w:w="851" w:type="dxa"/>
            <w:tcBorders>
              <w:top w:val="nil"/>
              <w:bottom w:val="nil"/>
            </w:tcBorders>
          </w:tcPr>
          <w:p w14:paraId="6514FDC7" w14:textId="3CC81E71" w:rsidR="00D854CC" w:rsidRDefault="00E03413" w:rsidP="00E6544D">
            <w:pPr>
              <w:spacing w:before="120" w:after="120"/>
              <w:jc w:val="center"/>
              <w:rPr>
                <w:sz w:val="20"/>
                <w:szCs w:val="20"/>
              </w:rPr>
            </w:pPr>
            <w:r w:rsidRPr="00F31D31">
              <w:rPr>
                <w:sz w:val="20"/>
                <w:szCs w:val="20"/>
              </w:rPr>
              <w:t>1.1</w:t>
            </w:r>
          </w:p>
          <w:p w14:paraId="64A9E77B" w14:textId="1A4A16A1" w:rsidR="005A32F3" w:rsidRPr="001641C4" w:rsidRDefault="005A32F3" w:rsidP="00E6544D">
            <w:pPr>
              <w:spacing w:before="120" w:after="120"/>
              <w:jc w:val="center"/>
              <w:rPr>
                <w:sz w:val="20"/>
                <w:szCs w:val="20"/>
              </w:rPr>
            </w:pPr>
          </w:p>
        </w:tc>
        <w:tc>
          <w:tcPr>
            <w:tcW w:w="9922" w:type="dxa"/>
            <w:tcBorders>
              <w:top w:val="nil"/>
              <w:bottom w:val="nil"/>
            </w:tcBorders>
          </w:tcPr>
          <w:p w14:paraId="6EC8AEB3" w14:textId="6D747D60" w:rsidR="001641C4" w:rsidRPr="00E6544D" w:rsidRDefault="00E6544D" w:rsidP="00E6544D">
            <w:pPr>
              <w:pStyle w:val="Default"/>
              <w:spacing w:before="120" w:after="120"/>
              <w:rPr>
                <w:iCs/>
                <w:sz w:val="20"/>
                <w:szCs w:val="20"/>
              </w:rPr>
            </w:pPr>
            <w:r w:rsidRPr="00E6544D">
              <w:rPr>
                <w:iCs/>
                <w:sz w:val="20"/>
                <w:szCs w:val="20"/>
              </w:rPr>
              <w:t xml:space="preserve">The Governance Committee are responsible for </w:t>
            </w:r>
            <w:r w:rsidRPr="00E6544D">
              <w:rPr>
                <w:sz w:val="20"/>
                <w:szCs w:val="20"/>
              </w:rPr>
              <w:t>provid</w:t>
            </w:r>
            <w:r>
              <w:rPr>
                <w:sz w:val="20"/>
                <w:szCs w:val="20"/>
              </w:rPr>
              <w:t>ing</w:t>
            </w:r>
            <w:r w:rsidRPr="00E6544D">
              <w:rPr>
                <w:sz w:val="20"/>
                <w:szCs w:val="20"/>
              </w:rPr>
              <w:t xml:space="preserve"> assurance </w:t>
            </w:r>
            <w:r>
              <w:rPr>
                <w:sz w:val="20"/>
                <w:szCs w:val="20"/>
              </w:rPr>
              <w:t>in regard to the</w:t>
            </w:r>
            <w:r w:rsidRPr="00E6544D">
              <w:rPr>
                <w:sz w:val="20"/>
                <w:szCs w:val="20"/>
              </w:rPr>
              <w:t xml:space="preserve"> adequacy of the risk management framework and internal control environment of the council, and oversight of the financial reporting process.</w:t>
            </w:r>
            <w:r>
              <w:rPr>
                <w:sz w:val="20"/>
                <w:szCs w:val="20"/>
              </w:rPr>
              <w:t xml:space="preserve">  It provides an independent and high level focus on the audit, assurance and reporting arrangements that underpin good governance and financial standards.  The purpose of the Governance Committee is to provide independent review of South Ribble Borough Council’s governance, risk management and control frameworks.</w:t>
            </w:r>
          </w:p>
        </w:tc>
      </w:tr>
      <w:tr w:rsidR="001A2585" w:rsidRPr="00D30D54" w14:paraId="77ED02B9" w14:textId="77777777" w:rsidTr="001F399C">
        <w:tc>
          <w:tcPr>
            <w:tcW w:w="851" w:type="dxa"/>
            <w:tcBorders>
              <w:top w:val="nil"/>
              <w:bottom w:val="nil"/>
            </w:tcBorders>
          </w:tcPr>
          <w:p w14:paraId="68BBCC02" w14:textId="28091549" w:rsidR="001A2585" w:rsidRPr="00F31D31" w:rsidRDefault="001A2585" w:rsidP="00E6544D">
            <w:pPr>
              <w:spacing w:before="120" w:after="120"/>
              <w:jc w:val="center"/>
              <w:rPr>
                <w:sz w:val="20"/>
                <w:szCs w:val="20"/>
              </w:rPr>
            </w:pPr>
            <w:r>
              <w:rPr>
                <w:sz w:val="20"/>
                <w:szCs w:val="20"/>
              </w:rPr>
              <w:t>1.2</w:t>
            </w:r>
          </w:p>
        </w:tc>
        <w:tc>
          <w:tcPr>
            <w:tcW w:w="9922" w:type="dxa"/>
            <w:tcBorders>
              <w:top w:val="nil"/>
              <w:bottom w:val="nil"/>
            </w:tcBorders>
          </w:tcPr>
          <w:p w14:paraId="078E44AB" w14:textId="4810D574" w:rsidR="001A2585" w:rsidRPr="00E6544D" w:rsidRDefault="00E23361" w:rsidP="00E23361">
            <w:pPr>
              <w:pStyle w:val="Default"/>
              <w:spacing w:before="120" w:after="120"/>
              <w:rPr>
                <w:sz w:val="20"/>
                <w:szCs w:val="20"/>
              </w:rPr>
            </w:pPr>
            <w:r>
              <w:rPr>
                <w:sz w:val="20"/>
                <w:szCs w:val="20"/>
              </w:rPr>
              <w:t xml:space="preserve">A key element in the Governance Committee being able to provide that assurance is the overall assurance opinion from the Head of Internal Audit.  The role of Head of Internal Audit at South Ribble is currently provided by the role of Interim Head of Shared Assurance. </w:t>
            </w:r>
          </w:p>
        </w:tc>
      </w:tr>
      <w:tr w:rsidR="001F399C" w:rsidRPr="00D30D54" w14:paraId="60D7C256" w14:textId="77777777" w:rsidTr="006144AB">
        <w:tc>
          <w:tcPr>
            <w:tcW w:w="851" w:type="dxa"/>
            <w:tcBorders>
              <w:top w:val="nil"/>
              <w:bottom w:val="nil"/>
            </w:tcBorders>
          </w:tcPr>
          <w:p w14:paraId="5956B9C1" w14:textId="4DCFFC38" w:rsidR="001F399C" w:rsidRDefault="001F399C" w:rsidP="00E6544D">
            <w:pPr>
              <w:spacing w:before="120" w:after="120"/>
              <w:jc w:val="center"/>
              <w:rPr>
                <w:sz w:val="20"/>
                <w:szCs w:val="20"/>
              </w:rPr>
            </w:pPr>
            <w:r>
              <w:rPr>
                <w:sz w:val="20"/>
                <w:szCs w:val="20"/>
              </w:rPr>
              <w:t>1.</w:t>
            </w:r>
            <w:r w:rsidR="00E23361">
              <w:rPr>
                <w:sz w:val="20"/>
                <w:szCs w:val="20"/>
              </w:rPr>
              <w:t>3</w:t>
            </w:r>
          </w:p>
        </w:tc>
        <w:tc>
          <w:tcPr>
            <w:tcW w:w="9922" w:type="dxa"/>
            <w:tcBorders>
              <w:top w:val="nil"/>
              <w:bottom w:val="nil"/>
            </w:tcBorders>
          </w:tcPr>
          <w:p w14:paraId="6F21055D" w14:textId="6B9212F7" w:rsidR="00E23361" w:rsidRDefault="00E23361" w:rsidP="00E6544D">
            <w:pPr>
              <w:spacing w:before="120" w:after="120"/>
              <w:rPr>
                <w:sz w:val="20"/>
                <w:szCs w:val="20"/>
              </w:rPr>
            </w:pPr>
            <w:r>
              <w:rPr>
                <w:sz w:val="20"/>
                <w:szCs w:val="20"/>
              </w:rPr>
              <w:t>This report sets out the Head of Internal Audit’s opinion on the adequacy and effectiveness of the Council’s framework of governance, risk management and control, the report includes the Head o Internal Audit’s opinion on the level of assurance provided by the overall control environment</w:t>
            </w:r>
          </w:p>
        </w:tc>
      </w:tr>
      <w:tr w:rsidR="006144AB" w:rsidRPr="00D30D54" w14:paraId="4C370DF5" w14:textId="77777777" w:rsidTr="001F399C">
        <w:tc>
          <w:tcPr>
            <w:tcW w:w="851" w:type="dxa"/>
            <w:tcBorders>
              <w:top w:val="nil"/>
              <w:bottom w:val="single" w:sz="4" w:space="0" w:color="auto"/>
            </w:tcBorders>
          </w:tcPr>
          <w:p w14:paraId="0F852DAD" w14:textId="771F4B7E" w:rsidR="006144AB" w:rsidRDefault="006144AB" w:rsidP="00E6544D">
            <w:pPr>
              <w:spacing w:before="120" w:after="120"/>
              <w:jc w:val="center"/>
              <w:rPr>
                <w:sz w:val="20"/>
                <w:szCs w:val="20"/>
              </w:rPr>
            </w:pPr>
            <w:r>
              <w:rPr>
                <w:sz w:val="20"/>
                <w:szCs w:val="20"/>
              </w:rPr>
              <w:t>1.5</w:t>
            </w:r>
          </w:p>
        </w:tc>
        <w:tc>
          <w:tcPr>
            <w:tcW w:w="9922" w:type="dxa"/>
            <w:tcBorders>
              <w:top w:val="nil"/>
              <w:bottom w:val="single" w:sz="4" w:space="0" w:color="auto"/>
            </w:tcBorders>
          </w:tcPr>
          <w:p w14:paraId="03361101" w14:textId="52603882" w:rsidR="006144AB" w:rsidRDefault="006144AB" w:rsidP="00E6544D">
            <w:pPr>
              <w:spacing w:before="120" w:after="120"/>
              <w:rPr>
                <w:sz w:val="20"/>
                <w:szCs w:val="20"/>
              </w:rPr>
            </w:pPr>
          </w:p>
        </w:tc>
      </w:tr>
    </w:tbl>
    <w:p w14:paraId="670064B8" w14:textId="77777777" w:rsidR="00E03413" w:rsidRDefault="00E03413"/>
    <w:p w14:paraId="4F3E234D" w14:textId="77777777" w:rsidR="005A32F3" w:rsidRDefault="005A32F3"/>
    <w:tbl>
      <w:tblPr>
        <w:tblW w:w="10773" w:type="dxa"/>
        <w:tblInd w:w="-45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851"/>
        <w:gridCol w:w="9922"/>
      </w:tblGrid>
      <w:tr w:rsidR="005A32F3" w:rsidRPr="00D30D54" w14:paraId="39188D09" w14:textId="77777777" w:rsidTr="00E23361">
        <w:trPr>
          <w:trHeight w:val="432"/>
        </w:trPr>
        <w:tc>
          <w:tcPr>
            <w:tcW w:w="851" w:type="dxa"/>
            <w:tcBorders>
              <w:top w:val="single" w:sz="4" w:space="0" w:color="auto"/>
              <w:bottom w:val="single" w:sz="6" w:space="0" w:color="auto"/>
            </w:tcBorders>
            <w:shd w:val="clear" w:color="auto" w:fill="B8CCE4" w:themeFill="accent1" w:themeFillTint="66"/>
            <w:vAlign w:val="center"/>
          </w:tcPr>
          <w:p w14:paraId="4E01F9DA" w14:textId="7BC7797A" w:rsidR="005A32F3" w:rsidRPr="00D30D54" w:rsidRDefault="005A32F3" w:rsidP="00857093">
            <w:pPr>
              <w:jc w:val="center"/>
              <w:rPr>
                <w:b/>
              </w:rPr>
            </w:pPr>
            <w:r>
              <w:rPr>
                <w:b/>
              </w:rPr>
              <w:t>2</w:t>
            </w:r>
          </w:p>
        </w:tc>
        <w:tc>
          <w:tcPr>
            <w:tcW w:w="9922" w:type="dxa"/>
            <w:tcBorders>
              <w:top w:val="single" w:sz="4" w:space="0" w:color="auto"/>
              <w:bottom w:val="single" w:sz="6" w:space="0" w:color="auto"/>
            </w:tcBorders>
            <w:shd w:val="clear" w:color="auto" w:fill="B8CCE4" w:themeFill="accent1" w:themeFillTint="66"/>
            <w:vAlign w:val="center"/>
          </w:tcPr>
          <w:p w14:paraId="3CDB0340" w14:textId="3B8129D7" w:rsidR="005A32F3" w:rsidRPr="00D30D54" w:rsidRDefault="00E23361" w:rsidP="00E23361">
            <w:pPr>
              <w:rPr>
                <w:b/>
              </w:rPr>
            </w:pPr>
            <w:r>
              <w:rPr>
                <w:b/>
              </w:rPr>
              <w:t>Role of Internal Audit</w:t>
            </w:r>
          </w:p>
        </w:tc>
      </w:tr>
      <w:tr w:rsidR="005A32F3" w:rsidRPr="00D30D54" w14:paraId="1BDD20AB" w14:textId="77777777" w:rsidTr="00FF5388">
        <w:tc>
          <w:tcPr>
            <w:tcW w:w="851" w:type="dxa"/>
            <w:tcBorders>
              <w:top w:val="single" w:sz="6" w:space="0" w:color="auto"/>
              <w:bottom w:val="nil"/>
            </w:tcBorders>
          </w:tcPr>
          <w:p w14:paraId="7DE7637D" w14:textId="2F2318B6" w:rsidR="005A32F3" w:rsidRDefault="006144AB" w:rsidP="00E23361">
            <w:pPr>
              <w:spacing w:before="120" w:after="120"/>
              <w:jc w:val="center"/>
              <w:rPr>
                <w:sz w:val="20"/>
                <w:szCs w:val="20"/>
              </w:rPr>
            </w:pPr>
            <w:r>
              <w:rPr>
                <w:sz w:val="20"/>
                <w:szCs w:val="20"/>
              </w:rPr>
              <w:t>2.1</w:t>
            </w:r>
          </w:p>
          <w:p w14:paraId="30E0AEB8" w14:textId="77777777" w:rsidR="005A32F3" w:rsidRDefault="005A32F3" w:rsidP="00E23361">
            <w:pPr>
              <w:spacing w:before="120" w:after="120"/>
              <w:jc w:val="center"/>
              <w:rPr>
                <w:sz w:val="20"/>
                <w:szCs w:val="20"/>
              </w:rPr>
            </w:pPr>
          </w:p>
          <w:p w14:paraId="369B8982" w14:textId="77777777" w:rsidR="005A32F3" w:rsidRDefault="005A32F3" w:rsidP="00E23361">
            <w:pPr>
              <w:spacing w:before="120" w:after="120"/>
              <w:jc w:val="center"/>
              <w:rPr>
                <w:sz w:val="20"/>
                <w:szCs w:val="20"/>
              </w:rPr>
            </w:pPr>
          </w:p>
          <w:p w14:paraId="5BCC6C3B" w14:textId="261EE9AA" w:rsidR="005A32F3" w:rsidRPr="001641C4" w:rsidRDefault="005A32F3" w:rsidP="00E23361">
            <w:pPr>
              <w:spacing w:before="120" w:after="120"/>
              <w:jc w:val="center"/>
              <w:rPr>
                <w:sz w:val="20"/>
                <w:szCs w:val="20"/>
              </w:rPr>
            </w:pPr>
          </w:p>
        </w:tc>
        <w:tc>
          <w:tcPr>
            <w:tcW w:w="9922" w:type="dxa"/>
            <w:tcBorders>
              <w:top w:val="single" w:sz="6" w:space="0" w:color="auto"/>
              <w:bottom w:val="nil"/>
            </w:tcBorders>
          </w:tcPr>
          <w:p w14:paraId="58C388DB" w14:textId="77777777" w:rsidR="005A32F3" w:rsidRDefault="00E23361" w:rsidP="00E23361">
            <w:pPr>
              <w:autoSpaceDE w:val="0"/>
              <w:autoSpaceDN w:val="0"/>
              <w:adjustRightInd w:val="0"/>
              <w:spacing w:before="120" w:after="120"/>
              <w:ind w:left="35"/>
              <w:rPr>
                <w:rFonts w:cs="Arial"/>
                <w:iCs/>
                <w:sz w:val="20"/>
                <w:szCs w:val="20"/>
              </w:rPr>
            </w:pPr>
            <w:r>
              <w:rPr>
                <w:rFonts w:cs="Arial"/>
                <w:iCs/>
                <w:sz w:val="20"/>
                <w:szCs w:val="20"/>
              </w:rPr>
              <w:t>The Accounts and Audit (England) Regulations 2015 state that a relevant body must:-</w:t>
            </w:r>
          </w:p>
          <w:p w14:paraId="04CA2EC5" w14:textId="77777777" w:rsidR="00E23361" w:rsidRDefault="00E23361" w:rsidP="00E23361">
            <w:pPr>
              <w:autoSpaceDE w:val="0"/>
              <w:autoSpaceDN w:val="0"/>
              <w:adjustRightInd w:val="0"/>
              <w:spacing w:before="120" w:after="120"/>
              <w:ind w:left="35"/>
              <w:rPr>
                <w:rFonts w:cs="Arial"/>
                <w:iCs/>
                <w:sz w:val="20"/>
                <w:szCs w:val="20"/>
              </w:rPr>
            </w:pPr>
            <w:r>
              <w:rPr>
                <w:rFonts w:cs="Arial"/>
                <w:b/>
                <w:i/>
                <w:iCs/>
                <w:sz w:val="20"/>
                <w:szCs w:val="20"/>
              </w:rPr>
              <w:t>“Undertake an effective internal audit to evaluate the effectiveness of risk management, control and governance processes, taking into accounts public sector internal auditing standards as guidance”</w:t>
            </w:r>
          </w:p>
          <w:p w14:paraId="1523DCDF" w14:textId="4CAF9619" w:rsidR="00E23361" w:rsidRPr="00E23361" w:rsidRDefault="00E23361" w:rsidP="00E23361">
            <w:pPr>
              <w:autoSpaceDE w:val="0"/>
              <w:autoSpaceDN w:val="0"/>
              <w:adjustRightInd w:val="0"/>
              <w:spacing w:before="120" w:after="120"/>
              <w:ind w:left="35"/>
              <w:rPr>
                <w:rFonts w:cs="Arial"/>
                <w:iCs/>
                <w:sz w:val="20"/>
                <w:szCs w:val="20"/>
              </w:rPr>
            </w:pPr>
            <w:r>
              <w:rPr>
                <w:rFonts w:cs="Arial"/>
                <w:iCs/>
                <w:sz w:val="20"/>
                <w:szCs w:val="20"/>
              </w:rPr>
              <w:t>The standards for ‘proper practices’ in relation to internal audit are laid down in the Public Sector Internal Audit Standards 2016 (the standards).</w:t>
            </w:r>
          </w:p>
        </w:tc>
      </w:tr>
      <w:tr w:rsidR="006144AB" w:rsidRPr="00D30D54" w14:paraId="0FAE206F" w14:textId="77777777" w:rsidTr="00E23361">
        <w:tc>
          <w:tcPr>
            <w:tcW w:w="851" w:type="dxa"/>
            <w:tcBorders>
              <w:top w:val="nil"/>
              <w:bottom w:val="nil"/>
            </w:tcBorders>
          </w:tcPr>
          <w:p w14:paraId="072D3A6D" w14:textId="60662933" w:rsidR="006144AB" w:rsidRDefault="006144AB" w:rsidP="00E23361">
            <w:pPr>
              <w:spacing w:before="120" w:after="120"/>
              <w:jc w:val="center"/>
              <w:rPr>
                <w:sz w:val="20"/>
                <w:szCs w:val="20"/>
              </w:rPr>
            </w:pPr>
            <w:r>
              <w:rPr>
                <w:sz w:val="20"/>
                <w:szCs w:val="20"/>
              </w:rPr>
              <w:t>2.2</w:t>
            </w:r>
          </w:p>
        </w:tc>
        <w:tc>
          <w:tcPr>
            <w:tcW w:w="9922" w:type="dxa"/>
            <w:tcBorders>
              <w:top w:val="nil"/>
              <w:bottom w:val="nil"/>
            </w:tcBorders>
          </w:tcPr>
          <w:p w14:paraId="712E21AE" w14:textId="77777777" w:rsidR="006144AB" w:rsidRDefault="00D34670" w:rsidP="00E23361">
            <w:pPr>
              <w:spacing w:before="120" w:after="120"/>
              <w:ind w:left="755" w:hanging="755"/>
              <w:jc w:val="both"/>
              <w:rPr>
                <w:rFonts w:cs="Arial"/>
                <w:sz w:val="20"/>
                <w:szCs w:val="20"/>
              </w:rPr>
            </w:pPr>
            <w:r>
              <w:rPr>
                <w:rFonts w:cs="Arial"/>
                <w:sz w:val="20"/>
                <w:szCs w:val="20"/>
              </w:rPr>
              <w:t>The role of internal audit is summarised in the following definition from the standards:-</w:t>
            </w:r>
          </w:p>
          <w:p w14:paraId="6D27171A" w14:textId="2DC9E352" w:rsidR="00D34670" w:rsidRPr="00D34670" w:rsidRDefault="00D34670" w:rsidP="00D34670">
            <w:pPr>
              <w:spacing w:before="120" w:after="120"/>
              <w:jc w:val="both"/>
              <w:rPr>
                <w:rFonts w:cs="Arial"/>
                <w:b/>
                <w:i/>
                <w:sz w:val="20"/>
                <w:szCs w:val="20"/>
              </w:rPr>
            </w:pPr>
            <w:r>
              <w:rPr>
                <w:rFonts w:cs="Arial"/>
                <w:b/>
                <w:i/>
                <w:sz w:val="20"/>
                <w:szCs w:val="20"/>
              </w:rPr>
              <w:t>“</w:t>
            </w:r>
            <w:r w:rsidRPr="00D34670">
              <w:rPr>
                <w:rFonts w:cs="Arial"/>
                <w:b/>
                <w:i/>
                <w:sz w:val="20"/>
                <w:szCs w:val="20"/>
              </w:rPr>
              <w:t>Internal auditing is an independent, objective assurance and consulting</w:t>
            </w:r>
            <w:r>
              <w:rPr>
                <w:rFonts w:cs="Arial"/>
                <w:b/>
                <w:i/>
                <w:sz w:val="20"/>
                <w:szCs w:val="20"/>
              </w:rPr>
              <w:t xml:space="preserve"> activity designed to add value </w:t>
            </w:r>
            <w:r w:rsidRPr="00D34670">
              <w:rPr>
                <w:rFonts w:cs="Arial"/>
                <w:b/>
                <w:i/>
                <w:sz w:val="20"/>
                <w:szCs w:val="20"/>
              </w:rPr>
              <w:t>and improve an organisation’s operations. It helps an organisation accomplish its objectives by bringing a systematic, disciplined approach to evaluate and improve the effectiveness of risk management, control and governance processes.</w:t>
            </w:r>
            <w:r>
              <w:rPr>
                <w:rFonts w:cs="Arial"/>
                <w:b/>
                <w:i/>
                <w:sz w:val="20"/>
                <w:szCs w:val="20"/>
              </w:rPr>
              <w:t>”</w:t>
            </w:r>
          </w:p>
        </w:tc>
      </w:tr>
      <w:tr w:rsidR="006144AB" w:rsidRPr="00D30D54" w14:paraId="6363E71A" w14:textId="77777777" w:rsidTr="00E23361">
        <w:tc>
          <w:tcPr>
            <w:tcW w:w="851" w:type="dxa"/>
            <w:tcBorders>
              <w:top w:val="nil"/>
              <w:bottom w:val="nil"/>
            </w:tcBorders>
          </w:tcPr>
          <w:p w14:paraId="38EF003E" w14:textId="11CEF97D" w:rsidR="006144AB" w:rsidRDefault="006144AB" w:rsidP="00E23361">
            <w:pPr>
              <w:spacing w:before="120" w:after="120"/>
              <w:jc w:val="center"/>
              <w:rPr>
                <w:sz w:val="20"/>
                <w:szCs w:val="20"/>
              </w:rPr>
            </w:pPr>
            <w:r>
              <w:rPr>
                <w:sz w:val="20"/>
                <w:szCs w:val="20"/>
              </w:rPr>
              <w:t>2.</w:t>
            </w:r>
            <w:r w:rsidR="00FF5388">
              <w:rPr>
                <w:sz w:val="20"/>
                <w:szCs w:val="20"/>
              </w:rPr>
              <w:t>3</w:t>
            </w:r>
          </w:p>
        </w:tc>
        <w:tc>
          <w:tcPr>
            <w:tcW w:w="9922" w:type="dxa"/>
            <w:tcBorders>
              <w:top w:val="nil"/>
              <w:bottom w:val="nil"/>
            </w:tcBorders>
          </w:tcPr>
          <w:p w14:paraId="43E92CAE" w14:textId="2C9BF1D4" w:rsidR="006144AB" w:rsidRPr="00D34670" w:rsidRDefault="00D34670" w:rsidP="00D34670">
            <w:pPr>
              <w:autoSpaceDE w:val="0"/>
              <w:autoSpaceDN w:val="0"/>
              <w:adjustRightInd w:val="0"/>
              <w:spacing w:before="120" w:after="120"/>
              <w:rPr>
                <w:rFonts w:cs="Arial"/>
                <w:b/>
                <w:i/>
                <w:sz w:val="20"/>
                <w:szCs w:val="20"/>
              </w:rPr>
            </w:pPr>
            <w:r>
              <w:rPr>
                <w:rFonts w:cs="Arial"/>
                <w:sz w:val="20"/>
                <w:szCs w:val="20"/>
              </w:rPr>
              <w:t xml:space="preserve">The Governance Committee has approved Internal Audit’s Charter which sets out the team’s roles and responsibilities in order to ensure effective internal control, good financial systems and management of risk.  The Charter is included in the Constitution of the Council. </w:t>
            </w:r>
          </w:p>
        </w:tc>
      </w:tr>
      <w:tr w:rsidR="006144AB" w:rsidRPr="00D30D54" w14:paraId="404053D0" w14:textId="77777777" w:rsidTr="00003A7D">
        <w:tc>
          <w:tcPr>
            <w:tcW w:w="851" w:type="dxa"/>
            <w:tcBorders>
              <w:top w:val="nil"/>
              <w:bottom w:val="nil"/>
            </w:tcBorders>
          </w:tcPr>
          <w:p w14:paraId="4327A419" w14:textId="37EFC035" w:rsidR="006144AB" w:rsidRDefault="00FF5388" w:rsidP="00E23361">
            <w:pPr>
              <w:spacing w:before="120" w:after="120"/>
              <w:jc w:val="center"/>
              <w:rPr>
                <w:sz w:val="20"/>
                <w:szCs w:val="20"/>
              </w:rPr>
            </w:pPr>
            <w:r>
              <w:rPr>
                <w:sz w:val="20"/>
                <w:szCs w:val="20"/>
              </w:rPr>
              <w:t>2.4</w:t>
            </w:r>
          </w:p>
        </w:tc>
        <w:tc>
          <w:tcPr>
            <w:tcW w:w="9922" w:type="dxa"/>
            <w:tcBorders>
              <w:top w:val="nil"/>
              <w:bottom w:val="nil"/>
            </w:tcBorders>
          </w:tcPr>
          <w:p w14:paraId="62CF280D" w14:textId="17C31943" w:rsidR="006144AB" w:rsidRDefault="00D34670" w:rsidP="00E23361">
            <w:pPr>
              <w:spacing w:before="120" w:after="120"/>
              <w:jc w:val="both"/>
              <w:rPr>
                <w:rFonts w:cs="Arial"/>
                <w:sz w:val="20"/>
                <w:szCs w:val="20"/>
              </w:rPr>
            </w:pPr>
            <w:r>
              <w:rPr>
                <w:rFonts w:cs="Arial"/>
                <w:sz w:val="20"/>
                <w:szCs w:val="20"/>
              </w:rPr>
              <w:t xml:space="preserve">The Council is responsible for establishing and maintaining appropriate risk management processes, control systems, accounting </w:t>
            </w:r>
            <w:r w:rsidR="00003A7D">
              <w:rPr>
                <w:rFonts w:cs="Arial"/>
                <w:sz w:val="20"/>
                <w:szCs w:val="20"/>
              </w:rPr>
              <w:t xml:space="preserve">records and governance arrangements.  Internal Audit plays a vital role in advising the Council that these arrangements are in place and operating effectively. </w:t>
            </w:r>
          </w:p>
        </w:tc>
      </w:tr>
      <w:tr w:rsidR="006144AB" w:rsidRPr="00D30D54" w14:paraId="1860A260" w14:textId="77777777" w:rsidTr="00003A7D">
        <w:tc>
          <w:tcPr>
            <w:tcW w:w="851" w:type="dxa"/>
            <w:tcBorders>
              <w:top w:val="nil"/>
              <w:bottom w:val="single" w:sz="4" w:space="0" w:color="auto"/>
            </w:tcBorders>
          </w:tcPr>
          <w:p w14:paraId="51FA67FC" w14:textId="7F986FC4" w:rsidR="006144AB" w:rsidRDefault="00FF5388" w:rsidP="00E23361">
            <w:pPr>
              <w:spacing w:before="120" w:after="120"/>
              <w:jc w:val="center"/>
              <w:rPr>
                <w:sz w:val="20"/>
                <w:szCs w:val="20"/>
              </w:rPr>
            </w:pPr>
            <w:r>
              <w:rPr>
                <w:sz w:val="20"/>
                <w:szCs w:val="20"/>
              </w:rPr>
              <w:t>2.5</w:t>
            </w:r>
          </w:p>
        </w:tc>
        <w:tc>
          <w:tcPr>
            <w:tcW w:w="9922" w:type="dxa"/>
            <w:tcBorders>
              <w:top w:val="nil"/>
              <w:bottom w:val="single" w:sz="4" w:space="0" w:color="auto"/>
            </w:tcBorders>
          </w:tcPr>
          <w:p w14:paraId="0E74229D" w14:textId="5C50D5BE" w:rsidR="006144AB" w:rsidRPr="00003A7D" w:rsidRDefault="00003A7D" w:rsidP="00003A7D">
            <w:pPr>
              <w:spacing w:before="120" w:after="120"/>
              <w:jc w:val="both"/>
              <w:rPr>
                <w:rFonts w:cs="Arial"/>
                <w:sz w:val="20"/>
                <w:szCs w:val="20"/>
              </w:rPr>
            </w:pPr>
            <w:r>
              <w:rPr>
                <w:rFonts w:cs="Arial"/>
                <w:sz w:val="20"/>
                <w:szCs w:val="20"/>
              </w:rPr>
              <w:t>The Council’s response to internal audit activity should lead to the strengthening of the control environment, and, therefore, contribute to the achievement of the Council’s objectives.</w:t>
            </w:r>
          </w:p>
        </w:tc>
      </w:tr>
    </w:tbl>
    <w:p w14:paraId="1F3612A2" w14:textId="710E9B87" w:rsidR="00812FE1" w:rsidRDefault="00812FE1" w:rsidP="006144AB">
      <w:pPr>
        <w:spacing w:before="120" w:after="120"/>
      </w:pPr>
    </w:p>
    <w:p w14:paraId="5871708B" w14:textId="77777777" w:rsidR="00812FE1" w:rsidRDefault="00812FE1">
      <w:r>
        <w:br w:type="page"/>
      </w:r>
    </w:p>
    <w:tbl>
      <w:tblPr>
        <w:tblW w:w="10773" w:type="dxa"/>
        <w:tblInd w:w="-45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851"/>
        <w:gridCol w:w="9922"/>
      </w:tblGrid>
      <w:tr w:rsidR="0098430D" w:rsidRPr="00D30D54" w14:paraId="2F13C5B3" w14:textId="77777777" w:rsidTr="00003A7D">
        <w:tc>
          <w:tcPr>
            <w:tcW w:w="851" w:type="dxa"/>
            <w:tcBorders>
              <w:bottom w:val="single" w:sz="6" w:space="0" w:color="auto"/>
            </w:tcBorders>
            <w:shd w:val="clear" w:color="auto" w:fill="B8CCE4" w:themeFill="accent1" w:themeFillTint="66"/>
          </w:tcPr>
          <w:p w14:paraId="1524DBCF" w14:textId="4414486E" w:rsidR="0098430D" w:rsidRDefault="00924A2D" w:rsidP="006144AB">
            <w:pPr>
              <w:spacing w:before="120" w:after="120"/>
              <w:jc w:val="center"/>
              <w:rPr>
                <w:b/>
              </w:rPr>
            </w:pPr>
            <w:r>
              <w:rPr>
                <w:b/>
              </w:rPr>
              <w:lastRenderedPageBreak/>
              <w:t>3</w:t>
            </w:r>
          </w:p>
        </w:tc>
        <w:tc>
          <w:tcPr>
            <w:tcW w:w="9922" w:type="dxa"/>
            <w:tcBorders>
              <w:bottom w:val="single" w:sz="6" w:space="0" w:color="auto"/>
            </w:tcBorders>
            <w:shd w:val="clear" w:color="auto" w:fill="B8CCE4" w:themeFill="accent1" w:themeFillTint="66"/>
          </w:tcPr>
          <w:p w14:paraId="42115C6E" w14:textId="0D6FAB12" w:rsidR="0098430D" w:rsidRPr="00D30D54" w:rsidRDefault="00003A7D" w:rsidP="00734199">
            <w:pPr>
              <w:spacing w:before="120" w:after="120"/>
              <w:rPr>
                <w:b/>
              </w:rPr>
            </w:pPr>
            <w:r>
              <w:rPr>
                <w:b/>
              </w:rPr>
              <w:t>Internal Audit Opinion</w:t>
            </w:r>
          </w:p>
        </w:tc>
      </w:tr>
      <w:tr w:rsidR="0098430D" w:rsidRPr="006A0EC0" w14:paraId="6E6F2F65" w14:textId="77777777" w:rsidTr="00003A7D">
        <w:tc>
          <w:tcPr>
            <w:tcW w:w="851" w:type="dxa"/>
            <w:tcBorders>
              <w:top w:val="single" w:sz="6" w:space="0" w:color="auto"/>
              <w:left w:val="single" w:sz="6" w:space="0" w:color="auto"/>
              <w:bottom w:val="nil"/>
            </w:tcBorders>
          </w:tcPr>
          <w:p w14:paraId="69143EEE" w14:textId="76911B9B" w:rsidR="0016285E" w:rsidRDefault="00924A2D" w:rsidP="008F783F">
            <w:pPr>
              <w:spacing w:before="120" w:after="120"/>
              <w:jc w:val="center"/>
            </w:pPr>
            <w:r>
              <w:t>3</w:t>
            </w:r>
            <w:r w:rsidR="0016285E">
              <w:t>.1</w:t>
            </w:r>
          </w:p>
          <w:p w14:paraId="6D396878" w14:textId="24A534F8" w:rsidR="009844E4" w:rsidRPr="00CF43E6" w:rsidRDefault="009844E4" w:rsidP="008F783F">
            <w:pPr>
              <w:spacing w:before="120" w:after="120"/>
              <w:jc w:val="center"/>
              <w:rPr>
                <w:b/>
              </w:rPr>
            </w:pPr>
          </w:p>
        </w:tc>
        <w:tc>
          <w:tcPr>
            <w:tcW w:w="9922" w:type="dxa"/>
            <w:tcBorders>
              <w:top w:val="single" w:sz="6" w:space="0" w:color="auto"/>
              <w:bottom w:val="nil"/>
            </w:tcBorders>
          </w:tcPr>
          <w:p w14:paraId="5A0E375F" w14:textId="526F49B1" w:rsidR="00A35271" w:rsidRPr="00003A7D" w:rsidRDefault="00003A7D" w:rsidP="00003A7D">
            <w:pPr>
              <w:spacing w:before="120" w:after="120"/>
              <w:rPr>
                <w:rFonts w:cs="Arial"/>
                <w:sz w:val="20"/>
                <w:szCs w:val="20"/>
              </w:rPr>
            </w:pPr>
            <w:r>
              <w:rPr>
                <w:rFonts w:cs="Arial"/>
                <w:sz w:val="20"/>
                <w:szCs w:val="20"/>
              </w:rPr>
              <w:t>The Interim Head of Shared Assurance is responsible for providing an annual audit opinion and report that can be used by the Council to inform its Annual Governance Statement.  The annual opinion concludes on the overall adequacy and effectiveness of the Council’s framework of governance, risk management and control.</w:t>
            </w:r>
          </w:p>
        </w:tc>
      </w:tr>
      <w:tr w:rsidR="00734199" w:rsidRPr="006A0EC0" w14:paraId="69E7CE21" w14:textId="77777777" w:rsidTr="00003A7D">
        <w:tc>
          <w:tcPr>
            <w:tcW w:w="851" w:type="dxa"/>
            <w:tcBorders>
              <w:top w:val="nil"/>
              <w:left w:val="single" w:sz="6" w:space="0" w:color="auto"/>
              <w:bottom w:val="nil"/>
            </w:tcBorders>
          </w:tcPr>
          <w:p w14:paraId="71BF47B5" w14:textId="37DCF3EF" w:rsidR="00734199" w:rsidRDefault="00924A2D" w:rsidP="008F783F">
            <w:pPr>
              <w:spacing w:before="120" w:after="120"/>
              <w:jc w:val="center"/>
            </w:pPr>
            <w:r>
              <w:t>3.2</w:t>
            </w:r>
          </w:p>
        </w:tc>
        <w:tc>
          <w:tcPr>
            <w:tcW w:w="9922" w:type="dxa"/>
            <w:tcBorders>
              <w:top w:val="nil"/>
              <w:bottom w:val="nil"/>
            </w:tcBorders>
          </w:tcPr>
          <w:p w14:paraId="7CB881AC" w14:textId="77777777" w:rsidR="00734199" w:rsidRDefault="00003A7D" w:rsidP="00F50984">
            <w:pPr>
              <w:pStyle w:val="ListParagraph"/>
              <w:spacing w:before="120" w:after="120"/>
              <w:ind w:left="0"/>
              <w:jc w:val="both"/>
              <w:rPr>
                <w:rFonts w:cs="Arial"/>
                <w:sz w:val="20"/>
                <w:szCs w:val="20"/>
              </w:rPr>
            </w:pPr>
            <w:r>
              <w:rPr>
                <w:rFonts w:cs="Arial"/>
                <w:sz w:val="20"/>
                <w:szCs w:val="20"/>
              </w:rPr>
              <w:t>In giving this opinion</w:t>
            </w:r>
            <w:r w:rsidR="00F50984">
              <w:rPr>
                <w:rFonts w:cs="Arial"/>
                <w:sz w:val="20"/>
                <w:szCs w:val="20"/>
              </w:rPr>
              <w:t xml:space="preserve"> it should be noted that an assurance opinion cannot be absolute as it is based on only those elements of governance and controls reviewed, the opinion is based on:-</w:t>
            </w:r>
          </w:p>
          <w:p w14:paraId="7FC9DF5F" w14:textId="77777777" w:rsidR="00F50984" w:rsidRDefault="00F50984" w:rsidP="00F50984">
            <w:pPr>
              <w:pStyle w:val="ListParagraph"/>
              <w:numPr>
                <w:ilvl w:val="0"/>
                <w:numId w:val="12"/>
              </w:numPr>
              <w:spacing w:before="120" w:after="120"/>
              <w:ind w:left="485" w:hanging="270"/>
              <w:jc w:val="both"/>
              <w:rPr>
                <w:rFonts w:cs="Arial"/>
                <w:sz w:val="20"/>
                <w:szCs w:val="20"/>
              </w:rPr>
            </w:pPr>
            <w:r>
              <w:rPr>
                <w:rFonts w:cs="Arial"/>
                <w:sz w:val="20"/>
                <w:szCs w:val="20"/>
              </w:rPr>
              <w:t>Internal audit planned work completed during the course of the year (assurance, consultancy &amp; other);</w:t>
            </w:r>
          </w:p>
          <w:p w14:paraId="2412A5A7" w14:textId="77777777" w:rsidR="00F50984" w:rsidRDefault="00F50984" w:rsidP="00F50984">
            <w:pPr>
              <w:pStyle w:val="ListParagraph"/>
              <w:numPr>
                <w:ilvl w:val="0"/>
                <w:numId w:val="12"/>
              </w:numPr>
              <w:spacing w:before="120" w:after="120"/>
              <w:ind w:left="485" w:hanging="270"/>
              <w:jc w:val="both"/>
              <w:rPr>
                <w:rFonts w:cs="Arial"/>
                <w:sz w:val="20"/>
                <w:szCs w:val="20"/>
              </w:rPr>
            </w:pPr>
            <w:r>
              <w:rPr>
                <w:rFonts w:cs="Arial"/>
                <w:sz w:val="20"/>
                <w:szCs w:val="20"/>
              </w:rPr>
              <w:t>Results of any follow up reviews undertaken in respect of previous years work and / or limited opinion reviews;</w:t>
            </w:r>
          </w:p>
          <w:p w14:paraId="150524E7" w14:textId="77777777" w:rsidR="00F50984" w:rsidRDefault="00F50984" w:rsidP="00F50984">
            <w:pPr>
              <w:pStyle w:val="ListParagraph"/>
              <w:numPr>
                <w:ilvl w:val="0"/>
                <w:numId w:val="12"/>
              </w:numPr>
              <w:spacing w:before="120" w:after="120"/>
              <w:ind w:left="485" w:hanging="270"/>
              <w:jc w:val="both"/>
              <w:rPr>
                <w:rFonts w:cs="Arial"/>
                <w:sz w:val="20"/>
                <w:szCs w:val="20"/>
              </w:rPr>
            </w:pPr>
            <w:r>
              <w:rPr>
                <w:rFonts w:cs="Arial"/>
                <w:sz w:val="20"/>
                <w:szCs w:val="20"/>
              </w:rPr>
              <w:t>Outcomes from work undertaken in respect of issues arising from the governance issues raised as part of the investigations relating to Senior officers of the Council;</w:t>
            </w:r>
          </w:p>
          <w:p w14:paraId="522ED680" w14:textId="17DC9FD2" w:rsidR="00F50984" w:rsidRPr="002C089B" w:rsidRDefault="00F50984" w:rsidP="00F50984">
            <w:pPr>
              <w:pStyle w:val="ListParagraph"/>
              <w:numPr>
                <w:ilvl w:val="0"/>
                <w:numId w:val="12"/>
              </w:numPr>
              <w:spacing w:before="120" w:after="120"/>
              <w:ind w:left="485" w:hanging="270"/>
              <w:jc w:val="both"/>
              <w:rPr>
                <w:rFonts w:cs="Arial"/>
                <w:sz w:val="20"/>
                <w:szCs w:val="20"/>
              </w:rPr>
            </w:pPr>
            <w:r>
              <w:rPr>
                <w:rFonts w:cs="Arial"/>
                <w:sz w:val="20"/>
                <w:szCs w:val="20"/>
              </w:rPr>
              <w:t>The proportion of SRBC’s audit plan that has been completed in the year.</w:t>
            </w:r>
          </w:p>
        </w:tc>
      </w:tr>
      <w:tr w:rsidR="00924A2D" w:rsidRPr="006A0EC0" w14:paraId="2624E0A5" w14:textId="77777777" w:rsidTr="00003A7D">
        <w:tc>
          <w:tcPr>
            <w:tcW w:w="851" w:type="dxa"/>
            <w:tcBorders>
              <w:top w:val="nil"/>
              <w:left w:val="single" w:sz="6" w:space="0" w:color="auto"/>
              <w:bottom w:val="nil"/>
            </w:tcBorders>
          </w:tcPr>
          <w:p w14:paraId="3A5DEA2F" w14:textId="7A69B867" w:rsidR="00924A2D" w:rsidRDefault="00924A2D" w:rsidP="008F783F">
            <w:pPr>
              <w:spacing w:before="120" w:after="120"/>
              <w:jc w:val="center"/>
            </w:pPr>
            <w:r>
              <w:t>3.3</w:t>
            </w:r>
          </w:p>
        </w:tc>
        <w:tc>
          <w:tcPr>
            <w:tcW w:w="9922" w:type="dxa"/>
            <w:tcBorders>
              <w:top w:val="nil"/>
              <w:bottom w:val="nil"/>
            </w:tcBorders>
          </w:tcPr>
          <w:p w14:paraId="3FEDF034" w14:textId="2124F2D2" w:rsidR="00924A2D" w:rsidRDefault="00F50984" w:rsidP="00812FE1">
            <w:pPr>
              <w:pStyle w:val="ListParagraph"/>
              <w:spacing w:before="120" w:after="120"/>
              <w:ind w:left="0"/>
              <w:jc w:val="both"/>
              <w:rPr>
                <w:rFonts w:cs="Arial"/>
                <w:sz w:val="20"/>
                <w:szCs w:val="20"/>
              </w:rPr>
            </w:pPr>
            <w:r>
              <w:rPr>
                <w:rFonts w:cs="Arial"/>
                <w:sz w:val="20"/>
                <w:szCs w:val="20"/>
              </w:rPr>
              <w:t xml:space="preserve">As the Interim Head of Shared Assurance I am satisfied that, based on the areas reviewed during the financial year 2019/20 that sufficient work has been carried out to form a reasonable conclusion </w:t>
            </w:r>
            <w:r w:rsidR="00812FE1">
              <w:rPr>
                <w:rFonts w:cs="Arial"/>
                <w:sz w:val="20"/>
                <w:szCs w:val="20"/>
              </w:rPr>
              <w:t>on the adequacy and effectiveness of South</w:t>
            </w:r>
            <w:r w:rsidR="000726C2">
              <w:rPr>
                <w:rFonts w:cs="Arial"/>
                <w:sz w:val="20"/>
                <w:szCs w:val="20"/>
              </w:rPr>
              <w:t xml:space="preserve"> Ribble Council’s </w:t>
            </w:r>
            <w:r w:rsidR="00812FE1">
              <w:rPr>
                <w:rFonts w:cs="Arial"/>
                <w:sz w:val="20"/>
                <w:szCs w:val="20"/>
              </w:rPr>
              <w:t>internal control environment.</w:t>
            </w:r>
          </w:p>
        </w:tc>
      </w:tr>
      <w:tr w:rsidR="0090599E" w:rsidRPr="006A0EC0" w14:paraId="38FD174F" w14:textId="77777777" w:rsidTr="00003A7D">
        <w:tc>
          <w:tcPr>
            <w:tcW w:w="851" w:type="dxa"/>
            <w:tcBorders>
              <w:top w:val="nil"/>
              <w:left w:val="single" w:sz="6" w:space="0" w:color="auto"/>
              <w:bottom w:val="nil"/>
            </w:tcBorders>
          </w:tcPr>
          <w:p w14:paraId="278E0DBE" w14:textId="6073F881" w:rsidR="0090599E" w:rsidRDefault="0090599E" w:rsidP="008F783F">
            <w:pPr>
              <w:spacing w:before="120" w:after="120"/>
              <w:jc w:val="center"/>
            </w:pPr>
            <w:r>
              <w:t>3.4</w:t>
            </w:r>
          </w:p>
        </w:tc>
        <w:tc>
          <w:tcPr>
            <w:tcW w:w="9922" w:type="dxa"/>
            <w:tcBorders>
              <w:top w:val="nil"/>
              <w:bottom w:val="nil"/>
            </w:tcBorders>
          </w:tcPr>
          <w:p w14:paraId="0FB1F47D" w14:textId="2C38F2D5" w:rsidR="0090599E" w:rsidRDefault="00812FE1" w:rsidP="00812FE1">
            <w:pPr>
              <w:pStyle w:val="ListParagraph"/>
              <w:spacing w:before="120" w:after="120"/>
              <w:ind w:left="0"/>
              <w:jc w:val="both"/>
              <w:rPr>
                <w:rFonts w:cs="Arial"/>
                <w:sz w:val="20"/>
                <w:szCs w:val="20"/>
              </w:rPr>
            </w:pPr>
            <w:r>
              <w:rPr>
                <w:rFonts w:cs="Arial"/>
                <w:sz w:val="20"/>
                <w:szCs w:val="20"/>
              </w:rPr>
              <w:t xml:space="preserve">Whilst South Ribble Council has a sound governance framework in that, in general, appropriate policies, rules, regulation and procedures are in place the operation of that framework, the failings in regard to management controls, fundamental failures and weakness of internal controls and the disregarding of existing policies and procedures in some circumstances have led to the conclusion that, in my opinion, the internal control environment only provides </w:t>
            </w:r>
            <w:r>
              <w:rPr>
                <w:rFonts w:cs="Arial"/>
                <w:b/>
                <w:sz w:val="20"/>
                <w:szCs w:val="20"/>
              </w:rPr>
              <w:t xml:space="preserve">Limited Assurance.  </w:t>
            </w:r>
            <w:r>
              <w:rPr>
                <w:rFonts w:cs="Arial"/>
                <w:sz w:val="20"/>
                <w:szCs w:val="20"/>
              </w:rPr>
              <w:t xml:space="preserve"> </w:t>
            </w:r>
          </w:p>
        </w:tc>
      </w:tr>
      <w:tr w:rsidR="0090599E" w:rsidRPr="006A0EC0" w14:paraId="6882AD5B" w14:textId="77777777" w:rsidTr="00003A7D">
        <w:tc>
          <w:tcPr>
            <w:tcW w:w="851" w:type="dxa"/>
            <w:tcBorders>
              <w:top w:val="nil"/>
              <w:left w:val="single" w:sz="6" w:space="0" w:color="auto"/>
              <w:bottom w:val="nil"/>
            </w:tcBorders>
          </w:tcPr>
          <w:p w14:paraId="4C1F709D" w14:textId="4518F503" w:rsidR="0090599E" w:rsidRDefault="0090599E" w:rsidP="008F783F">
            <w:pPr>
              <w:spacing w:before="120" w:after="120"/>
              <w:jc w:val="center"/>
            </w:pPr>
            <w:r>
              <w:t>3.5</w:t>
            </w:r>
          </w:p>
        </w:tc>
        <w:tc>
          <w:tcPr>
            <w:tcW w:w="9922" w:type="dxa"/>
            <w:tcBorders>
              <w:top w:val="nil"/>
              <w:bottom w:val="nil"/>
            </w:tcBorders>
          </w:tcPr>
          <w:p w14:paraId="6D30142B" w14:textId="1FC8930C" w:rsidR="004A16B4" w:rsidRDefault="00812FE1" w:rsidP="00963267">
            <w:pPr>
              <w:pStyle w:val="ListParagraph"/>
              <w:spacing w:before="120" w:after="120"/>
              <w:ind w:left="0"/>
              <w:jc w:val="both"/>
              <w:rPr>
                <w:rFonts w:cs="Arial"/>
                <w:sz w:val="20"/>
                <w:szCs w:val="20"/>
              </w:rPr>
            </w:pPr>
            <w:r>
              <w:rPr>
                <w:rFonts w:cs="Arial"/>
                <w:sz w:val="20"/>
                <w:szCs w:val="20"/>
              </w:rPr>
              <w:t>A number of reports have resulted in the opinion of governance and controls providing Limited Assurance and in relation to 2 areas of review there is No Assurance that can be provided that controls are in place, these reports are outlined in the summaries at Appendix 1 and 2 of this report.</w:t>
            </w:r>
          </w:p>
        </w:tc>
      </w:tr>
      <w:tr w:rsidR="00734199" w:rsidRPr="006A0EC0" w14:paraId="74B2F0EC" w14:textId="77777777" w:rsidTr="00003A7D">
        <w:tc>
          <w:tcPr>
            <w:tcW w:w="851" w:type="dxa"/>
            <w:tcBorders>
              <w:top w:val="nil"/>
              <w:left w:val="single" w:sz="6" w:space="0" w:color="auto"/>
              <w:bottom w:val="nil"/>
            </w:tcBorders>
          </w:tcPr>
          <w:p w14:paraId="45F2E317" w14:textId="1D1D9411" w:rsidR="00734199" w:rsidRPr="00F31D31" w:rsidRDefault="000D2D21" w:rsidP="00060FFB">
            <w:pPr>
              <w:spacing w:before="120" w:after="120"/>
              <w:jc w:val="center"/>
              <w:rPr>
                <w:sz w:val="20"/>
                <w:szCs w:val="20"/>
              </w:rPr>
            </w:pPr>
            <w:r>
              <w:rPr>
                <w:sz w:val="20"/>
                <w:szCs w:val="20"/>
              </w:rPr>
              <w:t>3.6</w:t>
            </w:r>
          </w:p>
        </w:tc>
        <w:tc>
          <w:tcPr>
            <w:tcW w:w="9922" w:type="dxa"/>
            <w:tcBorders>
              <w:top w:val="nil"/>
              <w:bottom w:val="nil"/>
            </w:tcBorders>
          </w:tcPr>
          <w:p w14:paraId="11FEBD5A" w14:textId="76483EE1" w:rsidR="00734199" w:rsidRPr="00DF6C5A" w:rsidRDefault="00DF6C5A" w:rsidP="00060FFB">
            <w:pPr>
              <w:pStyle w:val="ListParagraph"/>
              <w:spacing w:before="120" w:after="120"/>
              <w:ind w:left="0"/>
              <w:rPr>
                <w:rFonts w:eastAsiaTheme="minorHAnsi" w:cs="Arial"/>
                <w:sz w:val="20"/>
                <w:szCs w:val="20"/>
              </w:rPr>
            </w:pPr>
            <w:r>
              <w:rPr>
                <w:rFonts w:eastAsiaTheme="minorHAnsi" w:cs="Arial"/>
                <w:sz w:val="20"/>
                <w:szCs w:val="20"/>
              </w:rPr>
              <w:t>The following is the overall summary of governance, risk management and control, the issues arising from the reports in relation to these 3 areas have been included in the Annual Governance Statement and are supported by the work completed and the findings from those reviews.  The summary of findings and resulting Governance issues are summarised at Appendix 2.</w:t>
            </w:r>
          </w:p>
        </w:tc>
      </w:tr>
      <w:tr w:rsidR="00060FFB" w:rsidRPr="006A0EC0" w14:paraId="778B8F27" w14:textId="77777777" w:rsidTr="0072175C">
        <w:tc>
          <w:tcPr>
            <w:tcW w:w="851" w:type="dxa"/>
            <w:tcBorders>
              <w:top w:val="nil"/>
              <w:bottom w:val="nil"/>
            </w:tcBorders>
          </w:tcPr>
          <w:p w14:paraId="6D6AE034" w14:textId="2C1EAA4F" w:rsidR="00060FFB" w:rsidRDefault="00060FFB" w:rsidP="00060FFB">
            <w:pPr>
              <w:spacing w:before="120" w:after="120"/>
              <w:jc w:val="center"/>
              <w:rPr>
                <w:sz w:val="20"/>
                <w:szCs w:val="20"/>
              </w:rPr>
            </w:pPr>
            <w:r>
              <w:rPr>
                <w:sz w:val="20"/>
                <w:szCs w:val="20"/>
              </w:rPr>
              <w:t>3.7</w:t>
            </w:r>
          </w:p>
        </w:tc>
        <w:tc>
          <w:tcPr>
            <w:tcW w:w="9922" w:type="dxa"/>
            <w:tcBorders>
              <w:top w:val="nil"/>
              <w:bottom w:val="nil"/>
            </w:tcBorders>
          </w:tcPr>
          <w:p w14:paraId="3E48FCA6" w14:textId="77777777" w:rsidR="00EE15BB" w:rsidRDefault="00DF6C5A" w:rsidP="006127F1">
            <w:pPr>
              <w:spacing w:before="120" w:after="120"/>
              <w:jc w:val="both"/>
              <w:rPr>
                <w:rFonts w:cs="Arial"/>
                <w:b/>
                <w:sz w:val="20"/>
                <w:szCs w:val="20"/>
              </w:rPr>
            </w:pPr>
            <w:r>
              <w:rPr>
                <w:rFonts w:cs="Arial"/>
                <w:b/>
                <w:sz w:val="20"/>
                <w:szCs w:val="20"/>
              </w:rPr>
              <w:t>Governance</w:t>
            </w:r>
            <w:r w:rsidR="006127F1">
              <w:rPr>
                <w:rFonts w:cs="Arial"/>
                <w:b/>
                <w:sz w:val="20"/>
                <w:szCs w:val="20"/>
              </w:rPr>
              <w:t xml:space="preserve"> </w:t>
            </w:r>
          </w:p>
          <w:p w14:paraId="382827CC" w14:textId="1111434D" w:rsidR="00DF6C5A" w:rsidRPr="00DF6C5A" w:rsidRDefault="00DF6C5A" w:rsidP="006127F1">
            <w:pPr>
              <w:spacing w:before="120" w:after="120"/>
              <w:jc w:val="both"/>
              <w:rPr>
                <w:rFonts w:cs="Arial"/>
                <w:sz w:val="20"/>
                <w:szCs w:val="20"/>
              </w:rPr>
            </w:pPr>
            <w:r>
              <w:rPr>
                <w:rFonts w:cs="Arial"/>
                <w:sz w:val="20"/>
                <w:szCs w:val="20"/>
              </w:rPr>
              <w:t xml:space="preserve">Generally the Council has a sound, robust governance framework in that there are appropriate policies in place, robust financial rules and regulations, sound decision making processes and appropriately documented procedures, where required.  However, there have been consistent significant failings of the operation of those policies, rules, regulations and procedures etc. and fundamental failings in the operation of controls.  In some areas the total disregard of governance principles and frameworks have been identified including Senior Statutory Officers disregarding the governance arrangements and not carrying out their duties in a manner you would expect of officers at that level.  Work has identified checks and balances put in place to ensure </w:t>
            </w:r>
            <w:r w:rsidR="002D68A5">
              <w:rPr>
                <w:rFonts w:cs="Arial"/>
                <w:sz w:val="20"/>
                <w:szCs w:val="20"/>
              </w:rPr>
              <w:t>the Council risk of loss / misappropriation and material misstatement is mitigated have been disregarded by officers at that Senior Level.</w:t>
            </w:r>
          </w:p>
        </w:tc>
      </w:tr>
      <w:tr w:rsidR="00734199" w:rsidRPr="006A0EC0" w14:paraId="346AA6C1" w14:textId="77777777" w:rsidTr="00EE15BB">
        <w:tc>
          <w:tcPr>
            <w:tcW w:w="851" w:type="dxa"/>
            <w:tcBorders>
              <w:top w:val="nil"/>
              <w:bottom w:val="nil"/>
            </w:tcBorders>
          </w:tcPr>
          <w:p w14:paraId="2FA762EA" w14:textId="46CAECEE" w:rsidR="00734199" w:rsidRPr="00F31D31" w:rsidRDefault="00963267" w:rsidP="00060FFB">
            <w:pPr>
              <w:spacing w:before="120" w:after="120"/>
              <w:jc w:val="center"/>
              <w:rPr>
                <w:sz w:val="20"/>
                <w:szCs w:val="20"/>
              </w:rPr>
            </w:pPr>
            <w:r>
              <w:rPr>
                <w:sz w:val="20"/>
                <w:szCs w:val="20"/>
              </w:rPr>
              <w:t>3.8</w:t>
            </w:r>
          </w:p>
        </w:tc>
        <w:tc>
          <w:tcPr>
            <w:tcW w:w="9922" w:type="dxa"/>
            <w:tcBorders>
              <w:top w:val="nil"/>
              <w:bottom w:val="nil"/>
            </w:tcBorders>
          </w:tcPr>
          <w:p w14:paraId="1FAF03A0" w14:textId="77777777" w:rsidR="00EE15BB" w:rsidRDefault="002D68A5" w:rsidP="006127F1">
            <w:pPr>
              <w:spacing w:before="120" w:after="120"/>
              <w:jc w:val="both"/>
              <w:rPr>
                <w:rFonts w:cs="Arial"/>
                <w:b/>
                <w:sz w:val="20"/>
                <w:szCs w:val="20"/>
              </w:rPr>
            </w:pPr>
            <w:r>
              <w:rPr>
                <w:rFonts w:cs="Arial"/>
                <w:b/>
                <w:sz w:val="20"/>
                <w:szCs w:val="20"/>
              </w:rPr>
              <w:t>Risk Management</w:t>
            </w:r>
            <w:r w:rsidR="006127F1">
              <w:rPr>
                <w:rFonts w:cs="Arial"/>
                <w:b/>
                <w:sz w:val="20"/>
                <w:szCs w:val="20"/>
              </w:rPr>
              <w:t xml:space="preserve"> </w:t>
            </w:r>
          </w:p>
          <w:p w14:paraId="438A8705" w14:textId="182AD563" w:rsidR="002D68A5" w:rsidRPr="002D68A5" w:rsidRDefault="002D68A5" w:rsidP="006127F1">
            <w:pPr>
              <w:spacing w:before="120" w:after="120"/>
              <w:jc w:val="both"/>
              <w:rPr>
                <w:rFonts w:cs="Arial"/>
                <w:sz w:val="20"/>
                <w:szCs w:val="20"/>
              </w:rPr>
            </w:pPr>
            <w:r>
              <w:rPr>
                <w:rFonts w:cs="Arial"/>
                <w:sz w:val="20"/>
                <w:szCs w:val="20"/>
              </w:rPr>
              <w:t>Whilst there is a risk management framework in place, there is currently no risk strategy / policy in place, further the Risk Management framework is ambiguous and requires reviewing and updating to reflect best practice processes in relation to the management of risk throughout the Council.  The risk management software has not been utilised consistently across the organisation and there is a lack of understanding of operational and service risk management throughout the organisation.  Risk Management is not embedded at the Council and whilst officers, in general, manage risk as part of their daily roles, there is a lack of evidence to support that risk is in effect being managed.</w:t>
            </w:r>
          </w:p>
        </w:tc>
      </w:tr>
      <w:tr w:rsidR="00734199" w:rsidRPr="006A0EC0" w14:paraId="013D3837" w14:textId="77777777" w:rsidTr="00EE15BB">
        <w:tc>
          <w:tcPr>
            <w:tcW w:w="851" w:type="dxa"/>
            <w:tcBorders>
              <w:top w:val="nil"/>
              <w:bottom w:val="single" w:sz="4" w:space="0" w:color="auto"/>
            </w:tcBorders>
          </w:tcPr>
          <w:p w14:paraId="0719B4D7" w14:textId="3EE38BC9" w:rsidR="00734199" w:rsidRPr="00F31D31" w:rsidRDefault="004A16B4" w:rsidP="00060FFB">
            <w:pPr>
              <w:spacing w:before="120" w:after="120"/>
              <w:jc w:val="center"/>
              <w:rPr>
                <w:sz w:val="20"/>
                <w:szCs w:val="20"/>
              </w:rPr>
            </w:pPr>
            <w:r>
              <w:rPr>
                <w:sz w:val="20"/>
                <w:szCs w:val="20"/>
              </w:rPr>
              <w:t>3.9</w:t>
            </w:r>
          </w:p>
        </w:tc>
        <w:tc>
          <w:tcPr>
            <w:tcW w:w="9922" w:type="dxa"/>
            <w:tcBorders>
              <w:top w:val="nil"/>
              <w:bottom w:val="single" w:sz="4" w:space="0" w:color="auto"/>
            </w:tcBorders>
          </w:tcPr>
          <w:p w14:paraId="40BB8766" w14:textId="77777777" w:rsidR="00EE15BB" w:rsidRDefault="002D68A5" w:rsidP="00EE15BB">
            <w:pPr>
              <w:spacing w:before="120" w:after="120"/>
              <w:jc w:val="both"/>
              <w:rPr>
                <w:rFonts w:cs="Arial"/>
                <w:b/>
                <w:sz w:val="20"/>
                <w:szCs w:val="20"/>
              </w:rPr>
            </w:pPr>
            <w:r>
              <w:rPr>
                <w:rFonts w:cs="Arial"/>
                <w:b/>
                <w:sz w:val="20"/>
                <w:szCs w:val="20"/>
              </w:rPr>
              <w:t>Control</w:t>
            </w:r>
            <w:r w:rsidR="006127F1">
              <w:rPr>
                <w:rFonts w:cs="Arial"/>
                <w:b/>
                <w:sz w:val="20"/>
                <w:szCs w:val="20"/>
              </w:rPr>
              <w:t xml:space="preserve"> </w:t>
            </w:r>
          </w:p>
          <w:p w14:paraId="003B6278" w14:textId="75462965" w:rsidR="002D68A5" w:rsidRPr="002D68A5" w:rsidRDefault="002D68A5" w:rsidP="00EE15BB">
            <w:pPr>
              <w:spacing w:before="120" w:after="120"/>
              <w:jc w:val="both"/>
              <w:rPr>
                <w:rFonts w:cs="Arial"/>
                <w:sz w:val="20"/>
                <w:szCs w:val="20"/>
              </w:rPr>
            </w:pPr>
            <w:r>
              <w:rPr>
                <w:rFonts w:cs="Arial"/>
                <w:sz w:val="20"/>
                <w:szCs w:val="20"/>
              </w:rPr>
              <w:t xml:space="preserve">The Internal Audit Service provides an independent opinion on the adequacy of the internal control system within the Council, as outlined above this control environment is inadequate and ineffective in a number of areas reviewed.  All management actions are agreed with Senior Management and overall progress is reported to the Governance Committee on a quarterly basis.  As can be seen in the final progress report summary at Appendix 1, </w:t>
            </w:r>
            <w:r w:rsidR="006127F1">
              <w:rPr>
                <w:rFonts w:cs="Arial"/>
                <w:sz w:val="20"/>
                <w:szCs w:val="20"/>
              </w:rPr>
              <w:t>7 reviews have been classed as adequate and 1</w:t>
            </w:r>
            <w:r w:rsidR="00EE15BB">
              <w:rPr>
                <w:rFonts w:cs="Arial"/>
                <w:sz w:val="20"/>
                <w:szCs w:val="20"/>
              </w:rPr>
              <w:t>0</w:t>
            </w:r>
            <w:r w:rsidR="006127F1">
              <w:rPr>
                <w:rFonts w:cs="Arial"/>
                <w:sz w:val="20"/>
                <w:szCs w:val="20"/>
              </w:rPr>
              <w:t xml:space="preserve"> areas classed as Limited for SRBC; further for </w:t>
            </w:r>
            <w:r w:rsidR="006127F1">
              <w:rPr>
                <w:rFonts w:cs="Arial"/>
                <w:sz w:val="20"/>
                <w:szCs w:val="20"/>
              </w:rPr>
              <w:lastRenderedPageBreak/>
              <w:t>2 areas that sit within Shared Services</w:t>
            </w:r>
            <w:r w:rsidR="00EE15BB">
              <w:rPr>
                <w:rFonts w:cs="Arial"/>
                <w:sz w:val="20"/>
                <w:szCs w:val="20"/>
              </w:rPr>
              <w:t>, which have been reviewed Creditors and Procurement.  The Creditors review has an opinion of Limited Assurance.</w:t>
            </w:r>
          </w:p>
        </w:tc>
      </w:tr>
      <w:tr w:rsidR="00EE15BB" w:rsidRPr="006A0EC0" w14:paraId="0AC893E0" w14:textId="77777777" w:rsidTr="00EE15BB">
        <w:tc>
          <w:tcPr>
            <w:tcW w:w="851" w:type="dxa"/>
            <w:tcBorders>
              <w:top w:val="single" w:sz="4" w:space="0" w:color="auto"/>
              <w:bottom w:val="nil"/>
            </w:tcBorders>
          </w:tcPr>
          <w:p w14:paraId="026A44CF" w14:textId="4BDD9E23" w:rsidR="00EE15BB" w:rsidRDefault="00EE15BB" w:rsidP="00060FFB">
            <w:pPr>
              <w:spacing w:before="120" w:after="120"/>
              <w:jc w:val="center"/>
              <w:rPr>
                <w:sz w:val="20"/>
                <w:szCs w:val="20"/>
              </w:rPr>
            </w:pPr>
            <w:r>
              <w:rPr>
                <w:sz w:val="20"/>
                <w:szCs w:val="20"/>
              </w:rPr>
              <w:lastRenderedPageBreak/>
              <w:t>3.10</w:t>
            </w:r>
          </w:p>
        </w:tc>
        <w:tc>
          <w:tcPr>
            <w:tcW w:w="9922" w:type="dxa"/>
            <w:tcBorders>
              <w:top w:val="single" w:sz="4" w:space="0" w:color="auto"/>
              <w:bottom w:val="nil"/>
            </w:tcBorders>
          </w:tcPr>
          <w:p w14:paraId="41DE5DFD" w14:textId="7DBF7224" w:rsidR="00EE15BB" w:rsidRPr="00EE15BB" w:rsidRDefault="00EE15BB" w:rsidP="00EE15BB">
            <w:pPr>
              <w:spacing w:before="120" w:after="120"/>
              <w:jc w:val="both"/>
              <w:rPr>
                <w:rFonts w:cs="Arial"/>
                <w:sz w:val="20"/>
                <w:szCs w:val="20"/>
              </w:rPr>
            </w:pPr>
            <w:r>
              <w:rPr>
                <w:rFonts w:cs="Arial"/>
                <w:sz w:val="20"/>
                <w:szCs w:val="20"/>
              </w:rPr>
              <w:t xml:space="preserve">There are 2 areas for SRBC, where the failings are so fundamental that the current opinions could not be applied for these 2 areas the opinion is that processes are such that there is </w:t>
            </w:r>
            <w:r>
              <w:rPr>
                <w:rFonts w:cs="Arial"/>
                <w:b/>
                <w:sz w:val="20"/>
                <w:szCs w:val="20"/>
              </w:rPr>
              <w:t xml:space="preserve">No Assurance </w:t>
            </w:r>
            <w:r>
              <w:rPr>
                <w:rFonts w:cs="Arial"/>
                <w:sz w:val="20"/>
                <w:szCs w:val="20"/>
              </w:rPr>
              <w:t>provided, this is explained in the reports.</w:t>
            </w:r>
          </w:p>
        </w:tc>
      </w:tr>
      <w:tr w:rsidR="00870F9F" w:rsidRPr="006A0EC0" w14:paraId="173A8B29" w14:textId="77777777" w:rsidTr="0072175C">
        <w:tc>
          <w:tcPr>
            <w:tcW w:w="851" w:type="dxa"/>
            <w:tcBorders>
              <w:top w:val="nil"/>
              <w:bottom w:val="single" w:sz="4" w:space="0" w:color="auto"/>
            </w:tcBorders>
          </w:tcPr>
          <w:p w14:paraId="3A7A2782" w14:textId="0641FA2A" w:rsidR="00870F9F" w:rsidRPr="00F31D31" w:rsidRDefault="00870F9F" w:rsidP="00060FFB">
            <w:pPr>
              <w:spacing w:before="120" w:after="120"/>
              <w:jc w:val="center"/>
              <w:rPr>
                <w:sz w:val="20"/>
                <w:szCs w:val="20"/>
              </w:rPr>
            </w:pPr>
          </w:p>
        </w:tc>
        <w:tc>
          <w:tcPr>
            <w:tcW w:w="9922" w:type="dxa"/>
            <w:tcBorders>
              <w:top w:val="nil"/>
              <w:bottom w:val="single" w:sz="4" w:space="0" w:color="auto"/>
            </w:tcBorders>
          </w:tcPr>
          <w:p w14:paraId="1D3862FF" w14:textId="64F2A5C1" w:rsidR="00870F9F" w:rsidRPr="00986E54" w:rsidRDefault="00870F9F" w:rsidP="00060FFB">
            <w:pPr>
              <w:spacing w:before="120" w:after="120"/>
              <w:contextualSpacing/>
              <w:rPr>
                <w:rFonts w:eastAsiaTheme="minorHAnsi" w:cs="Arial"/>
                <w:iCs/>
                <w:sz w:val="18"/>
                <w:szCs w:val="18"/>
              </w:rPr>
            </w:pPr>
          </w:p>
        </w:tc>
      </w:tr>
    </w:tbl>
    <w:p w14:paraId="361CB906" w14:textId="3F13B148" w:rsidR="00812FE1" w:rsidRDefault="00812FE1"/>
    <w:tbl>
      <w:tblPr>
        <w:tblW w:w="10773" w:type="dxa"/>
        <w:tblInd w:w="-45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851"/>
        <w:gridCol w:w="9922"/>
      </w:tblGrid>
      <w:tr w:rsidR="00A853FF" w:rsidRPr="005C6AD9" w14:paraId="6E38AFE1" w14:textId="77777777" w:rsidTr="00AC0FFC">
        <w:tc>
          <w:tcPr>
            <w:tcW w:w="851" w:type="dxa"/>
            <w:tcBorders>
              <w:top w:val="single" w:sz="6" w:space="0" w:color="auto"/>
              <w:bottom w:val="single" w:sz="6" w:space="0" w:color="auto"/>
            </w:tcBorders>
            <w:shd w:val="clear" w:color="auto" w:fill="B8CCE4" w:themeFill="accent1" w:themeFillTint="66"/>
          </w:tcPr>
          <w:p w14:paraId="555C99CA" w14:textId="71476C53" w:rsidR="00A853FF" w:rsidRPr="005C6AD9" w:rsidRDefault="00A853FF" w:rsidP="00AC0FFC">
            <w:pPr>
              <w:spacing w:before="120" w:after="120"/>
              <w:jc w:val="center"/>
              <w:rPr>
                <w:b/>
              </w:rPr>
            </w:pPr>
            <w:r>
              <w:rPr>
                <w:b/>
              </w:rPr>
              <w:t>4.</w:t>
            </w:r>
          </w:p>
        </w:tc>
        <w:tc>
          <w:tcPr>
            <w:tcW w:w="9922" w:type="dxa"/>
            <w:tcBorders>
              <w:top w:val="single" w:sz="6" w:space="0" w:color="auto"/>
              <w:bottom w:val="single" w:sz="6" w:space="0" w:color="auto"/>
            </w:tcBorders>
            <w:shd w:val="clear" w:color="auto" w:fill="B8CCE4" w:themeFill="accent1" w:themeFillTint="66"/>
          </w:tcPr>
          <w:p w14:paraId="5C84D052" w14:textId="77777777" w:rsidR="00A853FF" w:rsidRPr="005C6AD9" w:rsidRDefault="00A853FF" w:rsidP="00AC0FFC">
            <w:pPr>
              <w:spacing w:before="120" w:after="120"/>
              <w:rPr>
                <w:b/>
              </w:rPr>
            </w:pPr>
            <w:r>
              <w:rPr>
                <w:b/>
              </w:rPr>
              <w:t>Resources</w:t>
            </w:r>
          </w:p>
        </w:tc>
      </w:tr>
      <w:tr w:rsidR="00DC256A" w:rsidRPr="006A0EC0" w14:paraId="3CABB7D8" w14:textId="77777777" w:rsidTr="00AC0FFC">
        <w:tc>
          <w:tcPr>
            <w:tcW w:w="851" w:type="dxa"/>
            <w:tcBorders>
              <w:top w:val="nil"/>
              <w:bottom w:val="nil"/>
            </w:tcBorders>
          </w:tcPr>
          <w:p w14:paraId="11387B56" w14:textId="22B8B050" w:rsidR="00DC256A" w:rsidRDefault="00DC256A" w:rsidP="00AC0FFC">
            <w:pPr>
              <w:spacing w:before="120" w:after="120"/>
              <w:jc w:val="center"/>
              <w:rPr>
                <w:sz w:val="20"/>
                <w:szCs w:val="20"/>
              </w:rPr>
            </w:pPr>
            <w:r>
              <w:rPr>
                <w:sz w:val="20"/>
                <w:szCs w:val="20"/>
              </w:rPr>
              <w:t>4.1</w:t>
            </w:r>
          </w:p>
        </w:tc>
        <w:tc>
          <w:tcPr>
            <w:tcW w:w="9922" w:type="dxa"/>
            <w:tcBorders>
              <w:top w:val="nil"/>
              <w:bottom w:val="nil"/>
            </w:tcBorders>
          </w:tcPr>
          <w:p w14:paraId="3EE0445F" w14:textId="7EAC9AAB" w:rsidR="00DC256A" w:rsidRDefault="004D5368" w:rsidP="00D22061">
            <w:pPr>
              <w:spacing w:before="120" w:after="120"/>
              <w:rPr>
                <w:rFonts w:cs="Arial"/>
                <w:sz w:val="20"/>
                <w:szCs w:val="20"/>
              </w:rPr>
            </w:pPr>
            <w:r>
              <w:rPr>
                <w:rFonts w:cs="Arial"/>
                <w:sz w:val="20"/>
                <w:szCs w:val="20"/>
              </w:rPr>
              <w:t>It is the Council’s responsibility to ensure an adequate and effectively resourced Internal Audit Services, it is the Governance Committee’s responsibility to approve the risk based audit plan, including internal audit’s resource requirements and to approve significant interim changes to the risk based audit plan and resource requirements and determine if there are any resource limitations.  It is the Head of Internal Audit’s responsibility to determine the resources, expertise, qualifications and systems for the internal audit service that are required to carry out a satisfactory level of internal audit.  To this end the Interim Head of Shared Assurance has reported resource requirements / impacts during the 20</w:t>
            </w:r>
            <w:r w:rsidR="00D22061">
              <w:rPr>
                <w:rFonts w:cs="Arial"/>
                <w:sz w:val="20"/>
                <w:szCs w:val="20"/>
              </w:rPr>
              <w:t>19/20 financial year in order for Governance Committee to be satisfied that there was sufficient resource within Internal Audit to deliver the 2019/20 Audit Plan.</w:t>
            </w:r>
          </w:p>
        </w:tc>
      </w:tr>
      <w:tr w:rsidR="00A853FF" w:rsidRPr="006A0EC0" w14:paraId="3E69DB9B" w14:textId="77777777" w:rsidTr="00AC0FFC">
        <w:tc>
          <w:tcPr>
            <w:tcW w:w="851" w:type="dxa"/>
            <w:tcBorders>
              <w:top w:val="nil"/>
              <w:bottom w:val="nil"/>
            </w:tcBorders>
          </w:tcPr>
          <w:p w14:paraId="0FC03FA1" w14:textId="7621BAE9" w:rsidR="00A853FF" w:rsidRPr="00F31D31" w:rsidRDefault="00A853FF" w:rsidP="00AC0FFC">
            <w:pPr>
              <w:spacing w:before="120" w:after="120"/>
              <w:jc w:val="center"/>
              <w:rPr>
                <w:sz w:val="20"/>
                <w:szCs w:val="20"/>
              </w:rPr>
            </w:pPr>
            <w:r>
              <w:rPr>
                <w:sz w:val="20"/>
                <w:szCs w:val="20"/>
              </w:rPr>
              <w:t>4.1</w:t>
            </w:r>
          </w:p>
        </w:tc>
        <w:tc>
          <w:tcPr>
            <w:tcW w:w="9922" w:type="dxa"/>
            <w:tcBorders>
              <w:top w:val="nil"/>
              <w:bottom w:val="nil"/>
            </w:tcBorders>
          </w:tcPr>
          <w:p w14:paraId="5D55C4C0" w14:textId="77777777" w:rsidR="00A853FF" w:rsidRPr="00F9198D" w:rsidRDefault="00A853FF" w:rsidP="00AC0FFC">
            <w:pPr>
              <w:spacing w:before="120" w:after="120"/>
              <w:rPr>
                <w:rFonts w:cs="Arial"/>
                <w:sz w:val="20"/>
                <w:szCs w:val="20"/>
              </w:rPr>
            </w:pPr>
            <w:r>
              <w:rPr>
                <w:rFonts w:cs="Arial"/>
                <w:sz w:val="20"/>
                <w:szCs w:val="20"/>
              </w:rPr>
              <w:t>The Internal Audit Plan for 2019/20 was based on an overall resource of 340 days for South Ribble Council, 340 for Chorley Borough Council and 120 days for Shared Services; this was based on the resource in place in March 2019.  The resource at that time was 1 FTE – Interim Head of Shared Assurance, 2.6 FTE Auditors.</w:t>
            </w:r>
          </w:p>
        </w:tc>
      </w:tr>
      <w:tr w:rsidR="00A853FF" w:rsidRPr="006A0EC0" w14:paraId="7332B284" w14:textId="77777777" w:rsidTr="00AC0FFC">
        <w:tc>
          <w:tcPr>
            <w:tcW w:w="851" w:type="dxa"/>
            <w:tcBorders>
              <w:top w:val="nil"/>
              <w:bottom w:val="nil"/>
            </w:tcBorders>
          </w:tcPr>
          <w:p w14:paraId="7E1AABB0" w14:textId="00E2B36A" w:rsidR="00A853FF" w:rsidRDefault="00A853FF" w:rsidP="00AC0FFC">
            <w:pPr>
              <w:spacing w:before="120" w:after="120"/>
              <w:jc w:val="center"/>
              <w:rPr>
                <w:sz w:val="20"/>
                <w:szCs w:val="20"/>
              </w:rPr>
            </w:pPr>
            <w:r>
              <w:rPr>
                <w:sz w:val="20"/>
                <w:szCs w:val="20"/>
              </w:rPr>
              <w:t>4.2</w:t>
            </w:r>
          </w:p>
        </w:tc>
        <w:tc>
          <w:tcPr>
            <w:tcW w:w="9922" w:type="dxa"/>
            <w:tcBorders>
              <w:top w:val="nil"/>
              <w:bottom w:val="nil"/>
            </w:tcBorders>
          </w:tcPr>
          <w:p w14:paraId="60396BBB" w14:textId="77777777" w:rsidR="00A853FF" w:rsidRDefault="00A853FF" w:rsidP="00AC0FFC">
            <w:pPr>
              <w:spacing w:before="120" w:after="120"/>
              <w:rPr>
                <w:rFonts w:cs="Arial"/>
                <w:sz w:val="20"/>
                <w:szCs w:val="20"/>
              </w:rPr>
            </w:pPr>
            <w:r>
              <w:rPr>
                <w:rFonts w:cs="Arial"/>
                <w:sz w:val="20"/>
                <w:szCs w:val="20"/>
              </w:rPr>
              <w:t>The issue regarding the investigations / governance work arose in May 2019 and the Interim Head of Shared Assurance, undertook several pieces of work relating to these areas, this resulted in changes in resources, that were agreed by Governance Committee’s at both Council’s.  The following arrangements were put in place:-</w:t>
            </w:r>
          </w:p>
          <w:p w14:paraId="15E6DB40" w14:textId="77777777" w:rsidR="00A853FF" w:rsidRDefault="00A853FF" w:rsidP="00AC0FFC">
            <w:pPr>
              <w:pStyle w:val="ListParagraph"/>
              <w:numPr>
                <w:ilvl w:val="0"/>
                <w:numId w:val="22"/>
              </w:numPr>
              <w:spacing w:before="120" w:after="120"/>
              <w:ind w:left="305" w:hanging="270"/>
              <w:rPr>
                <w:rFonts w:cs="Arial"/>
                <w:sz w:val="20"/>
                <w:szCs w:val="20"/>
              </w:rPr>
            </w:pPr>
            <w:r w:rsidRPr="000726C2">
              <w:rPr>
                <w:rFonts w:cs="Arial"/>
                <w:sz w:val="20"/>
                <w:szCs w:val="20"/>
              </w:rPr>
              <w:t>0.8 Auditor temporarily appointed to Principal Auditor role (11/06/19 – 31/03/20)</w:t>
            </w:r>
          </w:p>
          <w:p w14:paraId="5475D275" w14:textId="77777777" w:rsidR="00A853FF" w:rsidRPr="000726C2" w:rsidRDefault="00A853FF" w:rsidP="00AC0FFC">
            <w:pPr>
              <w:pStyle w:val="ListParagraph"/>
              <w:numPr>
                <w:ilvl w:val="0"/>
                <w:numId w:val="22"/>
              </w:numPr>
              <w:spacing w:before="120" w:after="120"/>
              <w:ind w:left="305" w:hanging="270"/>
              <w:rPr>
                <w:rFonts w:cs="Arial"/>
                <w:sz w:val="20"/>
                <w:szCs w:val="20"/>
              </w:rPr>
            </w:pPr>
            <w:r>
              <w:rPr>
                <w:rFonts w:cs="Arial"/>
                <w:sz w:val="20"/>
                <w:szCs w:val="20"/>
              </w:rPr>
              <w:t>T</w:t>
            </w:r>
            <w:r w:rsidRPr="000726C2">
              <w:rPr>
                <w:rFonts w:cs="Arial"/>
                <w:sz w:val="20"/>
                <w:szCs w:val="20"/>
              </w:rPr>
              <w:t xml:space="preserve">emporary Auditor (LH) appointed (agency) 7/07/19 – 03/04/20; </w:t>
            </w:r>
          </w:p>
          <w:p w14:paraId="4717B2C9" w14:textId="77777777" w:rsidR="00A853FF" w:rsidRPr="000726C2" w:rsidRDefault="00A853FF" w:rsidP="00AC0FFC">
            <w:pPr>
              <w:pStyle w:val="ListParagraph"/>
              <w:numPr>
                <w:ilvl w:val="0"/>
                <w:numId w:val="22"/>
              </w:numPr>
              <w:spacing w:before="120" w:after="120"/>
              <w:ind w:left="305" w:hanging="270"/>
              <w:rPr>
                <w:rFonts w:cs="Arial"/>
                <w:sz w:val="20"/>
                <w:szCs w:val="20"/>
              </w:rPr>
            </w:pPr>
            <w:r>
              <w:rPr>
                <w:rFonts w:cs="Arial"/>
                <w:sz w:val="20"/>
                <w:szCs w:val="20"/>
              </w:rPr>
              <w:t>Temporary Auditor (BW) appointed (agency) 21/10/19 – 24/04/20.</w:t>
            </w:r>
          </w:p>
        </w:tc>
      </w:tr>
      <w:tr w:rsidR="00A853FF" w:rsidRPr="006A0EC0" w14:paraId="620AA438" w14:textId="77777777" w:rsidTr="00AC0FFC">
        <w:tc>
          <w:tcPr>
            <w:tcW w:w="851" w:type="dxa"/>
            <w:tcBorders>
              <w:top w:val="nil"/>
              <w:bottom w:val="nil"/>
            </w:tcBorders>
          </w:tcPr>
          <w:p w14:paraId="7AF76890" w14:textId="4EFAEB2D" w:rsidR="00A853FF" w:rsidRDefault="00A853FF" w:rsidP="00AC0FFC">
            <w:pPr>
              <w:spacing w:before="120" w:after="120"/>
              <w:jc w:val="center"/>
              <w:rPr>
                <w:sz w:val="20"/>
                <w:szCs w:val="20"/>
              </w:rPr>
            </w:pPr>
            <w:r>
              <w:rPr>
                <w:sz w:val="20"/>
                <w:szCs w:val="20"/>
              </w:rPr>
              <w:t>4.3</w:t>
            </w:r>
          </w:p>
        </w:tc>
        <w:tc>
          <w:tcPr>
            <w:tcW w:w="9922" w:type="dxa"/>
            <w:tcBorders>
              <w:top w:val="nil"/>
              <w:bottom w:val="nil"/>
            </w:tcBorders>
          </w:tcPr>
          <w:p w14:paraId="00734AD6" w14:textId="77777777" w:rsidR="00A853FF" w:rsidRDefault="00A853FF" w:rsidP="00AC0FFC">
            <w:pPr>
              <w:spacing w:before="120" w:after="120"/>
              <w:rPr>
                <w:rFonts w:cs="Arial"/>
                <w:sz w:val="20"/>
                <w:szCs w:val="20"/>
              </w:rPr>
            </w:pPr>
            <w:r>
              <w:rPr>
                <w:rFonts w:cs="Arial"/>
                <w:sz w:val="20"/>
                <w:szCs w:val="20"/>
              </w:rPr>
              <w:t xml:space="preserve">This increased the resource to enable the plan to be practically completed, a significant % of the plan had been completed, other work was ongoing and was due to be completed by the end of March , then any outstanding that would be carried forward would be completed by end April / mid May.  However, due to the impact of COVID-19, 1 of the Agency Auditors and 2.6 FTE’s were seconded into the Community Hub to support the Council’s response to COVID-19.  This meant that the Internal Audit Service was stood down with the exception of the Interim Head of Shared Assurance. </w:t>
            </w:r>
          </w:p>
        </w:tc>
      </w:tr>
      <w:tr w:rsidR="00A853FF" w:rsidRPr="006A0EC0" w14:paraId="03F983CD" w14:textId="77777777" w:rsidTr="00AC0FFC">
        <w:tc>
          <w:tcPr>
            <w:tcW w:w="851" w:type="dxa"/>
            <w:tcBorders>
              <w:top w:val="nil"/>
              <w:bottom w:val="nil"/>
            </w:tcBorders>
          </w:tcPr>
          <w:p w14:paraId="4D4AE630" w14:textId="747B4904" w:rsidR="00A853FF" w:rsidRPr="00F31D31" w:rsidRDefault="00A853FF" w:rsidP="00AC0FFC">
            <w:pPr>
              <w:spacing w:before="120" w:after="120"/>
              <w:jc w:val="center"/>
              <w:rPr>
                <w:sz w:val="20"/>
                <w:szCs w:val="20"/>
              </w:rPr>
            </w:pPr>
            <w:r>
              <w:rPr>
                <w:sz w:val="20"/>
                <w:szCs w:val="20"/>
              </w:rPr>
              <w:t>4.4</w:t>
            </w:r>
          </w:p>
        </w:tc>
        <w:tc>
          <w:tcPr>
            <w:tcW w:w="9922" w:type="dxa"/>
            <w:tcBorders>
              <w:top w:val="nil"/>
              <w:bottom w:val="nil"/>
            </w:tcBorders>
          </w:tcPr>
          <w:p w14:paraId="4D6DAFAE" w14:textId="39E205CD" w:rsidR="00A853FF" w:rsidRDefault="00A853FF" w:rsidP="00A853FF">
            <w:pPr>
              <w:spacing w:before="120" w:after="120"/>
              <w:rPr>
                <w:rFonts w:cs="Arial"/>
                <w:sz w:val="20"/>
                <w:szCs w:val="20"/>
              </w:rPr>
            </w:pPr>
            <w:r>
              <w:rPr>
                <w:rFonts w:cs="Arial"/>
                <w:sz w:val="20"/>
                <w:szCs w:val="20"/>
              </w:rPr>
              <w:t>Going into 2020/21, it should be noted that the Auditor who was Temporarily filling the Principal Auditor role has left the organisation on 8</w:t>
            </w:r>
            <w:r w:rsidRPr="00A853FF">
              <w:rPr>
                <w:rFonts w:cs="Arial"/>
                <w:sz w:val="20"/>
                <w:szCs w:val="20"/>
                <w:vertAlign w:val="superscript"/>
              </w:rPr>
              <w:t>th</w:t>
            </w:r>
            <w:r>
              <w:rPr>
                <w:rFonts w:cs="Arial"/>
                <w:sz w:val="20"/>
                <w:szCs w:val="20"/>
              </w:rPr>
              <w:t xml:space="preserve"> May 2020; the 2 Agency temporary auditors finished on the 3</w:t>
            </w:r>
            <w:r w:rsidRPr="00A853FF">
              <w:rPr>
                <w:rFonts w:cs="Arial"/>
                <w:sz w:val="20"/>
                <w:szCs w:val="20"/>
                <w:vertAlign w:val="superscript"/>
              </w:rPr>
              <w:t>rd</w:t>
            </w:r>
            <w:r>
              <w:rPr>
                <w:rFonts w:cs="Arial"/>
                <w:sz w:val="20"/>
                <w:szCs w:val="20"/>
              </w:rPr>
              <w:t xml:space="preserve"> and 24</w:t>
            </w:r>
            <w:r w:rsidRPr="00A853FF">
              <w:rPr>
                <w:rFonts w:cs="Arial"/>
                <w:sz w:val="20"/>
                <w:szCs w:val="20"/>
                <w:vertAlign w:val="superscript"/>
              </w:rPr>
              <w:t>th</w:t>
            </w:r>
            <w:r>
              <w:rPr>
                <w:rFonts w:cs="Arial"/>
                <w:sz w:val="20"/>
                <w:szCs w:val="20"/>
              </w:rPr>
              <w:t xml:space="preserve"> April respectively.  The remaining 1.8 FTE are currently supporting the Community Hub, this was agreed at Leadership Team for a further period to end of June.</w:t>
            </w:r>
          </w:p>
        </w:tc>
      </w:tr>
      <w:tr w:rsidR="00A853FF" w:rsidRPr="006A0EC0" w14:paraId="21B58DFF" w14:textId="77777777" w:rsidTr="00AC0FFC">
        <w:tc>
          <w:tcPr>
            <w:tcW w:w="851" w:type="dxa"/>
            <w:tcBorders>
              <w:top w:val="nil"/>
              <w:bottom w:val="single" w:sz="4" w:space="0" w:color="auto"/>
            </w:tcBorders>
          </w:tcPr>
          <w:p w14:paraId="1641FDEE" w14:textId="2F05498A" w:rsidR="00A853FF" w:rsidRPr="00F31D31" w:rsidRDefault="00A853FF" w:rsidP="00AC0FFC">
            <w:pPr>
              <w:spacing w:before="120" w:after="120"/>
              <w:jc w:val="center"/>
              <w:rPr>
                <w:sz w:val="20"/>
                <w:szCs w:val="20"/>
              </w:rPr>
            </w:pPr>
            <w:r>
              <w:rPr>
                <w:sz w:val="20"/>
                <w:szCs w:val="20"/>
              </w:rPr>
              <w:t>4.5</w:t>
            </w:r>
          </w:p>
        </w:tc>
        <w:tc>
          <w:tcPr>
            <w:tcW w:w="9922" w:type="dxa"/>
            <w:tcBorders>
              <w:top w:val="nil"/>
              <w:bottom w:val="single" w:sz="4" w:space="0" w:color="auto"/>
            </w:tcBorders>
          </w:tcPr>
          <w:p w14:paraId="7CB75E9C" w14:textId="54A16D97" w:rsidR="00A853FF" w:rsidRDefault="00A853FF" w:rsidP="00E948D6">
            <w:pPr>
              <w:spacing w:before="120" w:after="120"/>
              <w:rPr>
                <w:rFonts w:cs="Arial"/>
                <w:sz w:val="20"/>
                <w:szCs w:val="20"/>
              </w:rPr>
            </w:pPr>
            <w:r>
              <w:rPr>
                <w:rFonts w:cs="Arial"/>
                <w:sz w:val="20"/>
                <w:szCs w:val="20"/>
              </w:rPr>
              <w:t xml:space="preserve">It should also be noted that the Interim Head of Shared Assurance’s contract </w:t>
            </w:r>
            <w:r w:rsidR="004D5368">
              <w:rPr>
                <w:rFonts w:cs="Arial"/>
                <w:sz w:val="20"/>
                <w:szCs w:val="20"/>
              </w:rPr>
              <w:t xml:space="preserve">finishes </w:t>
            </w:r>
            <w:r>
              <w:rPr>
                <w:rFonts w:cs="Arial"/>
                <w:sz w:val="20"/>
                <w:szCs w:val="20"/>
              </w:rPr>
              <w:t>on the 30</w:t>
            </w:r>
            <w:r w:rsidRPr="00A853FF">
              <w:rPr>
                <w:rFonts w:cs="Arial"/>
                <w:sz w:val="20"/>
                <w:szCs w:val="20"/>
                <w:vertAlign w:val="superscript"/>
              </w:rPr>
              <w:t>th</w:t>
            </w:r>
            <w:r>
              <w:rPr>
                <w:rFonts w:cs="Arial"/>
                <w:sz w:val="20"/>
                <w:szCs w:val="20"/>
              </w:rPr>
              <w:t xml:space="preserve"> June 2020.  Members should note the remaining service will be 1.8 FTE Auditors</w:t>
            </w:r>
            <w:r w:rsidR="00E948D6">
              <w:rPr>
                <w:rFonts w:cs="Arial"/>
                <w:sz w:val="20"/>
                <w:szCs w:val="20"/>
              </w:rPr>
              <w:t xml:space="preserve"> for both Council’s</w:t>
            </w:r>
            <w:r w:rsidR="004D5368">
              <w:rPr>
                <w:rFonts w:cs="Arial"/>
                <w:sz w:val="20"/>
                <w:szCs w:val="20"/>
              </w:rPr>
              <w:t xml:space="preserve">.  A service review is due to be undertaken in line with the agreement </w:t>
            </w:r>
            <w:r w:rsidR="00E948D6">
              <w:rPr>
                <w:rFonts w:cs="Arial"/>
                <w:sz w:val="20"/>
                <w:szCs w:val="20"/>
              </w:rPr>
              <w:t xml:space="preserve">at </w:t>
            </w:r>
            <w:r w:rsidR="004D5368">
              <w:rPr>
                <w:rFonts w:cs="Arial"/>
                <w:sz w:val="20"/>
                <w:szCs w:val="20"/>
              </w:rPr>
              <w:t>Shared Services Joint Committee 9</w:t>
            </w:r>
            <w:r w:rsidR="004D5368" w:rsidRPr="004D5368">
              <w:rPr>
                <w:rFonts w:cs="Arial"/>
                <w:sz w:val="20"/>
                <w:szCs w:val="20"/>
                <w:vertAlign w:val="superscript"/>
              </w:rPr>
              <w:t>th</w:t>
            </w:r>
            <w:r w:rsidR="004D5368">
              <w:rPr>
                <w:rFonts w:cs="Arial"/>
                <w:sz w:val="20"/>
                <w:szCs w:val="20"/>
              </w:rPr>
              <w:t xml:space="preserve"> September 2019.</w:t>
            </w:r>
          </w:p>
        </w:tc>
      </w:tr>
    </w:tbl>
    <w:p w14:paraId="32F90ECB" w14:textId="2A8DDC9A" w:rsidR="004D5368" w:rsidRDefault="004D5368"/>
    <w:p w14:paraId="1F54BFB6" w14:textId="77777777" w:rsidR="004D5368" w:rsidRDefault="004D5368">
      <w:r>
        <w:br w:type="page"/>
      </w:r>
    </w:p>
    <w:tbl>
      <w:tblPr>
        <w:tblW w:w="10773" w:type="dxa"/>
        <w:tblInd w:w="-45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851"/>
        <w:gridCol w:w="9922"/>
      </w:tblGrid>
      <w:tr w:rsidR="00FF5388" w:rsidRPr="00D30D54" w14:paraId="70D42F19" w14:textId="77777777" w:rsidTr="00857093">
        <w:tc>
          <w:tcPr>
            <w:tcW w:w="851" w:type="dxa"/>
            <w:tcBorders>
              <w:bottom w:val="single" w:sz="6" w:space="0" w:color="auto"/>
            </w:tcBorders>
            <w:shd w:val="clear" w:color="auto" w:fill="B8CCE4" w:themeFill="accent1" w:themeFillTint="66"/>
          </w:tcPr>
          <w:p w14:paraId="3F36F669" w14:textId="168D5D38" w:rsidR="00FF5388" w:rsidRDefault="004D5368" w:rsidP="00857093">
            <w:pPr>
              <w:spacing w:before="120" w:after="120"/>
              <w:jc w:val="center"/>
              <w:rPr>
                <w:b/>
              </w:rPr>
            </w:pPr>
            <w:r>
              <w:rPr>
                <w:b/>
              </w:rPr>
              <w:lastRenderedPageBreak/>
              <w:t>5</w:t>
            </w:r>
          </w:p>
        </w:tc>
        <w:tc>
          <w:tcPr>
            <w:tcW w:w="9922" w:type="dxa"/>
            <w:tcBorders>
              <w:bottom w:val="single" w:sz="6" w:space="0" w:color="auto"/>
            </w:tcBorders>
            <w:shd w:val="clear" w:color="auto" w:fill="B8CCE4" w:themeFill="accent1" w:themeFillTint="66"/>
          </w:tcPr>
          <w:p w14:paraId="3A97E90B" w14:textId="42C3CF1C" w:rsidR="00FF5388" w:rsidRPr="00D30D54" w:rsidRDefault="00812FE1" w:rsidP="00857093">
            <w:pPr>
              <w:spacing w:before="120" w:after="120"/>
              <w:rPr>
                <w:b/>
              </w:rPr>
            </w:pPr>
            <w:r>
              <w:rPr>
                <w:b/>
              </w:rPr>
              <w:t>Internal Audit Work</w:t>
            </w:r>
          </w:p>
        </w:tc>
      </w:tr>
      <w:tr w:rsidR="00FF305F" w:rsidRPr="00D30D54" w14:paraId="37F3F16D" w14:textId="77777777" w:rsidTr="00D64382">
        <w:tc>
          <w:tcPr>
            <w:tcW w:w="851" w:type="dxa"/>
            <w:tcBorders>
              <w:bottom w:val="single" w:sz="6" w:space="0" w:color="auto"/>
            </w:tcBorders>
            <w:shd w:val="clear" w:color="auto" w:fill="B8CCE4" w:themeFill="accent1" w:themeFillTint="66"/>
          </w:tcPr>
          <w:p w14:paraId="7D3040E7" w14:textId="77777777" w:rsidR="00FF305F" w:rsidRDefault="00FF305F" w:rsidP="00857093">
            <w:pPr>
              <w:spacing w:before="120" w:after="120"/>
              <w:jc w:val="center"/>
              <w:rPr>
                <w:b/>
              </w:rPr>
            </w:pPr>
          </w:p>
        </w:tc>
        <w:tc>
          <w:tcPr>
            <w:tcW w:w="9922" w:type="dxa"/>
            <w:tcBorders>
              <w:bottom w:val="single" w:sz="6" w:space="0" w:color="auto"/>
            </w:tcBorders>
            <w:shd w:val="clear" w:color="auto" w:fill="B8CCE4" w:themeFill="accent1" w:themeFillTint="66"/>
          </w:tcPr>
          <w:p w14:paraId="3F36E4CA" w14:textId="454047DE" w:rsidR="00FF305F" w:rsidRDefault="00812FE1" w:rsidP="00857093">
            <w:pPr>
              <w:spacing w:before="120" w:after="120"/>
              <w:rPr>
                <w:b/>
              </w:rPr>
            </w:pPr>
            <w:r>
              <w:rPr>
                <w:b/>
              </w:rPr>
              <w:t>Audit Plan 2019/20</w:t>
            </w:r>
          </w:p>
        </w:tc>
      </w:tr>
      <w:tr w:rsidR="00FF5388" w:rsidRPr="006A0EC0" w14:paraId="60F5AB17" w14:textId="77777777" w:rsidTr="00D64382">
        <w:tc>
          <w:tcPr>
            <w:tcW w:w="851" w:type="dxa"/>
            <w:tcBorders>
              <w:top w:val="single" w:sz="6" w:space="0" w:color="auto"/>
              <w:left w:val="single" w:sz="6" w:space="0" w:color="auto"/>
              <w:bottom w:val="nil"/>
            </w:tcBorders>
          </w:tcPr>
          <w:p w14:paraId="171FC5B3" w14:textId="08E3CA18" w:rsidR="00FF5388" w:rsidRDefault="004D5368" w:rsidP="000641D0">
            <w:pPr>
              <w:spacing w:before="120" w:after="120"/>
              <w:jc w:val="center"/>
            </w:pPr>
            <w:r>
              <w:t>5</w:t>
            </w:r>
            <w:r w:rsidR="00FF5388">
              <w:t>.1</w:t>
            </w:r>
          </w:p>
          <w:p w14:paraId="3ED7430C" w14:textId="680BBF4A" w:rsidR="00FF5388" w:rsidRPr="00CF43E6" w:rsidRDefault="00FF5388" w:rsidP="000641D0">
            <w:pPr>
              <w:spacing w:before="120" w:after="120"/>
              <w:jc w:val="center"/>
              <w:rPr>
                <w:b/>
              </w:rPr>
            </w:pPr>
          </w:p>
        </w:tc>
        <w:tc>
          <w:tcPr>
            <w:tcW w:w="9922" w:type="dxa"/>
            <w:tcBorders>
              <w:top w:val="single" w:sz="6" w:space="0" w:color="auto"/>
              <w:bottom w:val="nil"/>
            </w:tcBorders>
          </w:tcPr>
          <w:p w14:paraId="444D34F6" w14:textId="66CC97F5" w:rsidR="00D64382" w:rsidRPr="002C089B" w:rsidRDefault="00D64382" w:rsidP="00D64382">
            <w:pPr>
              <w:pStyle w:val="ListParagraph"/>
              <w:spacing w:before="120" w:after="120"/>
              <w:ind w:left="0"/>
              <w:rPr>
                <w:rFonts w:cs="Arial"/>
                <w:sz w:val="20"/>
                <w:szCs w:val="20"/>
              </w:rPr>
            </w:pPr>
            <w:r>
              <w:rPr>
                <w:rFonts w:cs="Arial"/>
                <w:sz w:val="20"/>
                <w:szCs w:val="20"/>
              </w:rPr>
              <w:t>The Internal Audit Plan for 2019/20 was initially agreed by Governance Committee at is meeting in March 2019.  The 2019/20 plan was prepared informed by Internal Audit’s own assessment of risks at that time and consultation with Leadership Team to ensure it aligned to key risks facing the Council for the coming year (2019/20).  Included in that plan was a block of 60 days which was intended to be used to address reviews of emerging risks throughout the year.</w:t>
            </w:r>
          </w:p>
        </w:tc>
      </w:tr>
      <w:tr w:rsidR="008F783F" w:rsidRPr="006A0EC0" w14:paraId="46D2412F" w14:textId="77777777" w:rsidTr="00D64382">
        <w:tc>
          <w:tcPr>
            <w:tcW w:w="851" w:type="dxa"/>
            <w:tcBorders>
              <w:top w:val="nil"/>
              <w:left w:val="single" w:sz="6" w:space="0" w:color="auto"/>
              <w:bottom w:val="nil"/>
            </w:tcBorders>
          </w:tcPr>
          <w:p w14:paraId="7D456B58" w14:textId="38D05F80" w:rsidR="008F783F" w:rsidRPr="00F31D31" w:rsidRDefault="004D5368" w:rsidP="000641D0">
            <w:pPr>
              <w:spacing w:before="120" w:after="120"/>
              <w:jc w:val="center"/>
              <w:rPr>
                <w:sz w:val="20"/>
                <w:szCs w:val="20"/>
              </w:rPr>
            </w:pPr>
            <w:r>
              <w:rPr>
                <w:sz w:val="20"/>
                <w:szCs w:val="20"/>
              </w:rPr>
              <w:t>5</w:t>
            </w:r>
            <w:r w:rsidR="0072175C">
              <w:rPr>
                <w:sz w:val="20"/>
                <w:szCs w:val="20"/>
              </w:rPr>
              <w:t>.2</w:t>
            </w:r>
          </w:p>
        </w:tc>
        <w:tc>
          <w:tcPr>
            <w:tcW w:w="9922" w:type="dxa"/>
            <w:tcBorders>
              <w:top w:val="nil"/>
              <w:bottom w:val="nil"/>
            </w:tcBorders>
          </w:tcPr>
          <w:p w14:paraId="56EAE080" w14:textId="77777777" w:rsidR="00D64382" w:rsidRDefault="00D64382" w:rsidP="00D64382">
            <w:pPr>
              <w:spacing w:before="120" w:after="120"/>
              <w:jc w:val="both"/>
              <w:rPr>
                <w:rFonts w:eastAsiaTheme="minorHAnsi" w:cs="Arial"/>
                <w:iCs/>
                <w:sz w:val="18"/>
                <w:szCs w:val="18"/>
              </w:rPr>
            </w:pPr>
            <w:r>
              <w:rPr>
                <w:rFonts w:eastAsiaTheme="minorHAnsi" w:cs="Arial"/>
                <w:iCs/>
                <w:sz w:val="18"/>
                <w:szCs w:val="18"/>
              </w:rPr>
              <w:t>The summary of work undertaken against the Audit Plan is attached at Appendix 1, this outlines the status of the reports as at end May 2020, the opinion of those reports that are completed and actual days spend against planned days.  The report shows:-</w:t>
            </w:r>
          </w:p>
          <w:p w14:paraId="23A8290A" w14:textId="3147FB66" w:rsidR="00263EF5" w:rsidRDefault="00D64382" w:rsidP="00263EF5">
            <w:pPr>
              <w:spacing w:before="120" w:after="120"/>
              <w:rPr>
                <w:rFonts w:eastAsiaTheme="minorHAnsi" w:cs="Arial"/>
                <w:iCs/>
                <w:sz w:val="18"/>
                <w:szCs w:val="18"/>
              </w:rPr>
            </w:pPr>
            <w:r>
              <w:rPr>
                <w:rFonts w:eastAsiaTheme="minorHAnsi" w:cs="Arial"/>
                <w:iCs/>
                <w:sz w:val="18"/>
                <w:szCs w:val="18"/>
              </w:rPr>
              <w:t xml:space="preserve">Page i)  - planned audit work,  </w:t>
            </w:r>
            <w:r w:rsidR="00263EF5">
              <w:rPr>
                <w:rFonts w:eastAsiaTheme="minorHAnsi" w:cs="Arial"/>
                <w:iCs/>
                <w:sz w:val="18"/>
                <w:szCs w:val="18"/>
              </w:rPr>
              <w:t xml:space="preserve">Days </w:t>
            </w:r>
            <w:r>
              <w:rPr>
                <w:rFonts w:eastAsiaTheme="minorHAnsi" w:cs="Arial"/>
                <w:iCs/>
                <w:sz w:val="18"/>
                <w:szCs w:val="18"/>
              </w:rPr>
              <w:t xml:space="preserve">planned </w:t>
            </w:r>
            <w:r w:rsidR="00263EF5">
              <w:rPr>
                <w:rFonts w:eastAsiaTheme="minorHAnsi" w:cs="Arial"/>
                <w:iCs/>
                <w:sz w:val="18"/>
                <w:szCs w:val="18"/>
              </w:rPr>
              <w:t xml:space="preserve">165,  </w:t>
            </w:r>
            <w:r>
              <w:rPr>
                <w:rFonts w:eastAsiaTheme="minorHAnsi" w:cs="Arial"/>
                <w:iCs/>
                <w:sz w:val="18"/>
                <w:szCs w:val="18"/>
              </w:rPr>
              <w:t xml:space="preserve">actual </w:t>
            </w:r>
            <w:r w:rsidR="00263EF5">
              <w:rPr>
                <w:rFonts w:eastAsiaTheme="minorHAnsi" w:cs="Arial"/>
                <w:iCs/>
                <w:sz w:val="18"/>
                <w:szCs w:val="18"/>
              </w:rPr>
              <w:t>152.7</w:t>
            </w:r>
            <w:r>
              <w:rPr>
                <w:rFonts w:eastAsiaTheme="minorHAnsi" w:cs="Arial"/>
                <w:iCs/>
                <w:sz w:val="18"/>
                <w:szCs w:val="18"/>
              </w:rPr>
              <w:br/>
              <w:t>Page ii) - 60 days outlined above and the work allocated against those days</w:t>
            </w:r>
            <w:r w:rsidR="00263EF5">
              <w:rPr>
                <w:rFonts w:eastAsiaTheme="minorHAnsi" w:cs="Arial"/>
                <w:iCs/>
                <w:sz w:val="18"/>
                <w:szCs w:val="18"/>
              </w:rPr>
              <w:t xml:space="preserve"> :planned 60, actual 106.10</w:t>
            </w:r>
            <w:r w:rsidR="00263EF5">
              <w:rPr>
                <w:rFonts w:eastAsiaTheme="minorHAnsi" w:cs="Arial"/>
                <w:iCs/>
                <w:sz w:val="18"/>
                <w:szCs w:val="18"/>
              </w:rPr>
              <w:br/>
              <w:t xml:space="preserve">             - plus further governance work 57.8 days</w:t>
            </w:r>
            <w:r w:rsidR="00263EF5">
              <w:rPr>
                <w:rFonts w:eastAsiaTheme="minorHAnsi" w:cs="Arial"/>
                <w:iCs/>
                <w:sz w:val="18"/>
                <w:szCs w:val="18"/>
              </w:rPr>
              <w:br/>
              <w:t>Total Planned Days  - 225,   Actual Days 316.6 , (91.6 more days work undertaken than planned)</w:t>
            </w:r>
          </w:p>
          <w:p w14:paraId="3184477B" w14:textId="77777777" w:rsidR="004A16B4" w:rsidRDefault="00263EF5" w:rsidP="00263EF5">
            <w:pPr>
              <w:spacing w:before="120" w:after="120"/>
              <w:rPr>
                <w:rFonts w:cs="Arial"/>
                <w:sz w:val="20"/>
                <w:szCs w:val="20"/>
              </w:rPr>
            </w:pPr>
            <w:r>
              <w:rPr>
                <w:rFonts w:cs="Arial"/>
                <w:sz w:val="20"/>
                <w:szCs w:val="20"/>
              </w:rPr>
              <w:t>This equates to 140.71% of the Audit Planned Work and Allocated Work completed.</w:t>
            </w:r>
          </w:p>
          <w:p w14:paraId="58195D5D" w14:textId="77777777" w:rsidR="00263EF5" w:rsidRDefault="00263EF5" w:rsidP="00263EF5">
            <w:pPr>
              <w:spacing w:before="120" w:after="120"/>
              <w:rPr>
                <w:rFonts w:cs="Arial"/>
                <w:sz w:val="20"/>
                <w:szCs w:val="20"/>
              </w:rPr>
            </w:pPr>
            <w:r>
              <w:rPr>
                <w:rFonts w:cs="Arial"/>
                <w:sz w:val="20"/>
                <w:szCs w:val="20"/>
              </w:rPr>
              <w:t>Page iii) &amp; iv) relate to ongoing work completed throughout the year, work carried forward from 2018/19, general areas and Contingency / Irregularity work, this area includes the investigation work primarily undertaken by the Interim Head of Shared Assurance.</w:t>
            </w:r>
            <w:r>
              <w:rPr>
                <w:rFonts w:cs="Arial"/>
                <w:sz w:val="20"/>
                <w:szCs w:val="20"/>
              </w:rPr>
              <w:br/>
            </w:r>
          </w:p>
          <w:p w14:paraId="601F9E03" w14:textId="77777777" w:rsidR="00263EF5" w:rsidRDefault="00263EF5" w:rsidP="00263EF5">
            <w:pPr>
              <w:spacing w:before="120" w:after="120"/>
              <w:rPr>
                <w:rFonts w:eastAsiaTheme="minorHAnsi" w:cs="Arial"/>
                <w:iCs/>
                <w:sz w:val="18"/>
                <w:szCs w:val="18"/>
              </w:rPr>
            </w:pPr>
            <w:r>
              <w:rPr>
                <w:rFonts w:eastAsiaTheme="minorHAnsi" w:cs="Arial"/>
                <w:iCs/>
                <w:sz w:val="18"/>
                <w:szCs w:val="18"/>
              </w:rPr>
              <w:t>Overall Totals</w:t>
            </w:r>
          </w:p>
          <w:p w14:paraId="6B340C8C" w14:textId="069B790F" w:rsidR="00263EF5" w:rsidRPr="00D64382" w:rsidRDefault="00263EF5" w:rsidP="00E4622D">
            <w:pPr>
              <w:spacing w:before="120" w:after="120"/>
              <w:rPr>
                <w:rFonts w:eastAsiaTheme="minorHAnsi" w:cs="Arial"/>
                <w:iCs/>
                <w:sz w:val="18"/>
                <w:szCs w:val="18"/>
              </w:rPr>
            </w:pPr>
            <w:r>
              <w:rPr>
                <w:rFonts w:eastAsiaTheme="minorHAnsi" w:cs="Arial"/>
                <w:iCs/>
                <w:sz w:val="18"/>
                <w:szCs w:val="18"/>
              </w:rPr>
              <w:t xml:space="preserve">Planned Days    -  340, Actual Days    - </w:t>
            </w:r>
            <w:r w:rsidR="00E4622D">
              <w:rPr>
                <w:rFonts w:eastAsiaTheme="minorHAnsi" w:cs="Arial"/>
                <w:iCs/>
                <w:sz w:val="18"/>
                <w:szCs w:val="18"/>
              </w:rPr>
              <w:t>517.4</w:t>
            </w:r>
            <w:r>
              <w:rPr>
                <w:rFonts w:eastAsiaTheme="minorHAnsi" w:cs="Arial"/>
                <w:iCs/>
                <w:sz w:val="18"/>
                <w:szCs w:val="18"/>
              </w:rPr>
              <w:t xml:space="preserve">; therefore </w:t>
            </w:r>
            <w:r w:rsidR="00E4622D">
              <w:rPr>
                <w:rFonts w:eastAsiaTheme="minorHAnsi" w:cs="Arial"/>
                <w:iCs/>
                <w:sz w:val="18"/>
                <w:szCs w:val="18"/>
              </w:rPr>
              <w:t>177.4 days more undertaken than planned, this equates to % of plan completed as 152%.</w:t>
            </w:r>
            <w:r>
              <w:rPr>
                <w:rFonts w:eastAsiaTheme="minorHAnsi" w:cs="Arial"/>
                <w:iCs/>
                <w:sz w:val="18"/>
                <w:szCs w:val="18"/>
              </w:rPr>
              <w:t xml:space="preserve"> </w:t>
            </w:r>
          </w:p>
        </w:tc>
      </w:tr>
      <w:tr w:rsidR="00D22061" w:rsidRPr="006A0EC0" w14:paraId="4C202576" w14:textId="77777777" w:rsidTr="00D64382">
        <w:tc>
          <w:tcPr>
            <w:tcW w:w="851" w:type="dxa"/>
            <w:tcBorders>
              <w:top w:val="nil"/>
              <w:left w:val="single" w:sz="6" w:space="0" w:color="auto"/>
              <w:bottom w:val="nil"/>
            </w:tcBorders>
          </w:tcPr>
          <w:p w14:paraId="1C3D79A2" w14:textId="0ED2D3CA" w:rsidR="00D22061" w:rsidRDefault="004E79AC" w:rsidP="000641D0">
            <w:pPr>
              <w:spacing w:before="120" w:after="120"/>
              <w:jc w:val="center"/>
              <w:rPr>
                <w:sz w:val="20"/>
                <w:szCs w:val="20"/>
              </w:rPr>
            </w:pPr>
            <w:r>
              <w:rPr>
                <w:sz w:val="20"/>
                <w:szCs w:val="20"/>
              </w:rPr>
              <w:t>5.3</w:t>
            </w:r>
          </w:p>
        </w:tc>
        <w:tc>
          <w:tcPr>
            <w:tcW w:w="9922" w:type="dxa"/>
            <w:tcBorders>
              <w:top w:val="nil"/>
              <w:bottom w:val="nil"/>
            </w:tcBorders>
          </w:tcPr>
          <w:p w14:paraId="37377FD3" w14:textId="77777777" w:rsidR="00D22061" w:rsidRDefault="00F22D35" w:rsidP="00D64382">
            <w:pPr>
              <w:spacing w:before="120" w:after="120"/>
              <w:jc w:val="both"/>
              <w:rPr>
                <w:rFonts w:eastAsiaTheme="minorHAnsi" w:cs="Arial"/>
                <w:iCs/>
                <w:sz w:val="18"/>
                <w:szCs w:val="18"/>
              </w:rPr>
            </w:pPr>
            <w:r>
              <w:rPr>
                <w:rFonts w:eastAsiaTheme="minorHAnsi" w:cs="Arial"/>
                <w:iCs/>
                <w:sz w:val="18"/>
                <w:szCs w:val="18"/>
              </w:rPr>
              <w:t>As can be seen from the attached Progress table at Appendix 2 a number of pieces of Core Audit Work / Governance work have exceeded the planned days, these are:</w:t>
            </w:r>
          </w:p>
          <w:tbl>
            <w:tblPr>
              <w:tblStyle w:val="TableGrid"/>
              <w:tblW w:w="0" w:type="auto"/>
              <w:tblLayout w:type="fixed"/>
              <w:tblLook w:val="04A0" w:firstRow="1" w:lastRow="0" w:firstColumn="1" w:lastColumn="0" w:noHBand="0" w:noVBand="1"/>
            </w:tblPr>
            <w:tblGrid>
              <w:gridCol w:w="2424"/>
              <w:gridCol w:w="1476"/>
              <w:gridCol w:w="1350"/>
              <w:gridCol w:w="1080"/>
            </w:tblGrid>
            <w:tr w:rsidR="00F22D35" w:rsidRPr="00F22D35" w14:paraId="30CB29B9" w14:textId="77777777" w:rsidTr="00F22D35">
              <w:tc>
                <w:tcPr>
                  <w:tcW w:w="2424" w:type="dxa"/>
                </w:tcPr>
                <w:p w14:paraId="3AF8EB6A" w14:textId="0A36380B" w:rsidR="00F22D35" w:rsidRPr="00F22D35" w:rsidRDefault="00F22D35" w:rsidP="00F22D35">
                  <w:pPr>
                    <w:spacing w:before="120" w:after="120"/>
                    <w:jc w:val="center"/>
                    <w:rPr>
                      <w:rFonts w:eastAsiaTheme="minorHAnsi" w:cs="Arial"/>
                      <w:b/>
                      <w:iCs/>
                      <w:sz w:val="18"/>
                      <w:szCs w:val="18"/>
                    </w:rPr>
                  </w:pPr>
                  <w:r w:rsidRPr="00F22D35">
                    <w:rPr>
                      <w:rFonts w:eastAsiaTheme="minorHAnsi" w:cs="Arial"/>
                      <w:b/>
                      <w:iCs/>
                      <w:sz w:val="18"/>
                      <w:szCs w:val="18"/>
                    </w:rPr>
                    <w:t>Audit</w:t>
                  </w:r>
                </w:p>
              </w:tc>
              <w:tc>
                <w:tcPr>
                  <w:tcW w:w="1476" w:type="dxa"/>
                </w:tcPr>
                <w:p w14:paraId="7A6C08B0" w14:textId="5D10B751" w:rsidR="00F22D35" w:rsidRPr="00F22D35" w:rsidRDefault="00F22D35" w:rsidP="00F22D35">
                  <w:pPr>
                    <w:spacing w:before="120" w:after="120"/>
                    <w:jc w:val="center"/>
                    <w:rPr>
                      <w:rFonts w:eastAsiaTheme="minorHAnsi" w:cs="Arial"/>
                      <w:b/>
                      <w:iCs/>
                      <w:sz w:val="18"/>
                      <w:szCs w:val="18"/>
                    </w:rPr>
                  </w:pPr>
                  <w:r w:rsidRPr="00F22D35">
                    <w:rPr>
                      <w:rFonts w:eastAsiaTheme="minorHAnsi" w:cs="Arial"/>
                      <w:b/>
                      <w:iCs/>
                      <w:sz w:val="18"/>
                      <w:szCs w:val="18"/>
                    </w:rPr>
                    <w:t>Planned Days</w:t>
                  </w:r>
                </w:p>
              </w:tc>
              <w:tc>
                <w:tcPr>
                  <w:tcW w:w="1350" w:type="dxa"/>
                </w:tcPr>
                <w:p w14:paraId="1D963735" w14:textId="6555768A" w:rsidR="00F22D35" w:rsidRPr="00F22D35" w:rsidRDefault="00F22D35" w:rsidP="00F22D35">
                  <w:pPr>
                    <w:spacing w:before="120" w:after="120"/>
                    <w:jc w:val="center"/>
                    <w:rPr>
                      <w:rFonts w:eastAsiaTheme="minorHAnsi" w:cs="Arial"/>
                      <w:b/>
                      <w:iCs/>
                      <w:sz w:val="18"/>
                      <w:szCs w:val="18"/>
                    </w:rPr>
                  </w:pPr>
                  <w:r w:rsidRPr="00F22D35">
                    <w:rPr>
                      <w:rFonts w:eastAsiaTheme="minorHAnsi" w:cs="Arial"/>
                      <w:b/>
                      <w:iCs/>
                      <w:sz w:val="18"/>
                      <w:szCs w:val="18"/>
                    </w:rPr>
                    <w:t>Actual Days</w:t>
                  </w:r>
                </w:p>
              </w:tc>
              <w:tc>
                <w:tcPr>
                  <w:tcW w:w="1080" w:type="dxa"/>
                </w:tcPr>
                <w:p w14:paraId="26D0BC0E" w14:textId="1AB17D5A" w:rsidR="00F22D35" w:rsidRPr="00F22D35" w:rsidRDefault="00F22D35" w:rsidP="00F22D35">
                  <w:pPr>
                    <w:spacing w:before="120" w:after="120"/>
                    <w:jc w:val="center"/>
                    <w:rPr>
                      <w:rFonts w:eastAsiaTheme="minorHAnsi" w:cs="Arial"/>
                      <w:b/>
                      <w:iCs/>
                      <w:sz w:val="18"/>
                      <w:szCs w:val="18"/>
                    </w:rPr>
                  </w:pPr>
                  <w:r w:rsidRPr="00F22D35">
                    <w:rPr>
                      <w:rFonts w:eastAsiaTheme="minorHAnsi" w:cs="Arial"/>
                      <w:b/>
                      <w:iCs/>
                      <w:sz w:val="18"/>
                      <w:szCs w:val="18"/>
                    </w:rPr>
                    <w:t>Variance</w:t>
                  </w:r>
                </w:p>
              </w:tc>
            </w:tr>
            <w:tr w:rsidR="00F22D35" w14:paraId="11521FAD" w14:textId="77777777" w:rsidTr="00F22D35">
              <w:tc>
                <w:tcPr>
                  <w:tcW w:w="2424" w:type="dxa"/>
                </w:tcPr>
                <w:p w14:paraId="7D0C605E" w14:textId="72FFFBF8" w:rsidR="00F22D35" w:rsidRDefault="00F22D35" w:rsidP="00D64382">
                  <w:pPr>
                    <w:spacing w:before="120" w:after="120"/>
                    <w:jc w:val="both"/>
                    <w:rPr>
                      <w:rFonts w:eastAsiaTheme="minorHAnsi" w:cs="Arial"/>
                      <w:iCs/>
                      <w:sz w:val="18"/>
                      <w:szCs w:val="18"/>
                    </w:rPr>
                  </w:pPr>
                  <w:r>
                    <w:rPr>
                      <w:rFonts w:eastAsiaTheme="minorHAnsi" w:cs="Arial"/>
                      <w:iCs/>
                      <w:sz w:val="18"/>
                      <w:szCs w:val="18"/>
                    </w:rPr>
                    <w:t>Absence Management</w:t>
                  </w:r>
                </w:p>
              </w:tc>
              <w:tc>
                <w:tcPr>
                  <w:tcW w:w="1476" w:type="dxa"/>
                </w:tcPr>
                <w:p w14:paraId="5ED9DEE6" w14:textId="617246C9" w:rsidR="00F22D35" w:rsidRDefault="00F22D35" w:rsidP="00D64382">
                  <w:pPr>
                    <w:spacing w:before="120" w:after="120"/>
                    <w:jc w:val="both"/>
                    <w:rPr>
                      <w:rFonts w:eastAsiaTheme="minorHAnsi" w:cs="Arial"/>
                      <w:iCs/>
                      <w:sz w:val="18"/>
                      <w:szCs w:val="18"/>
                    </w:rPr>
                  </w:pPr>
                  <w:r>
                    <w:rPr>
                      <w:rFonts w:eastAsiaTheme="minorHAnsi" w:cs="Arial"/>
                      <w:iCs/>
                      <w:sz w:val="18"/>
                      <w:szCs w:val="18"/>
                    </w:rPr>
                    <w:t>10</w:t>
                  </w:r>
                </w:p>
              </w:tc>
              <w:tc>
                <w:tcPr>
                  <w:tcW w:w="1350" w:type="dxa"/>
                </w:tcPr>
                <w:p w14:paraId="6748F4FE" w14:textId="0D599621" w:rsidR="00F22D35" w:rsidRDefault="00F22D35" w:rsidP="00D64382">
                  <w:pPr>
                    <w:spacing w:before="120" w:after="120"/>
                    <w:jc w:val="both"/>
                    <w:rPr>
                      <w:rFonts w:eastAsiaTheme="minorHAnsi" w:cs="Arial"/>
                      <w:iCs/>
                      <w:sz w:val="18"/>
                      <w:szCs w:val="18"/>
                    </w:rPr>
                  </w:pPr>
                  <w:r>
                    <w:rPr>
                      <w:rFonts w:eastAsiaTheme="minorHAnsi" w:cs="Arial"/>
                      <w:iCs/>
                      <w:sz w:val="18"/>
                      <w:szCs w:val="18"/>
                    </w:rPr>
                    <w:t>18.9</w:t>
                  </w:r>
                </w:p>
              </w:tc>
              <w:tc>
                <w:tcPr>
                  <w:tcW w:w="1080" w:type="dxa"/>
                </w:tcPr>
                <w:p w14:paraId="74EBB380" w14:textId="2CECAE57" w:rsidR="00F22D35" w:rsidRDefault="00F22D35" w:rsidP="00D64382">
                  <w:pPr>
                    <w:spacing w:before="120" w:after="120"/>
                    <w:jc w:val="both"/>
                    <w:rPr>
                      <w:rFonts w:eastAsiaTheme="minorHAnsi" w:cs="Arial"/>
                      <w:iCs/>
                      <w:sz w:val="18"/>
                      <w:szCs w:val="18"/>
                    </w:rPr>
                  </w:pPr>
                  <w:r>
                    <w:rPr>
                      <w:rFonts w:eastAsiaTheme="minorHAnsi" w:cs="Arial"/>
                      <w:iCs/>
                      <w:sz w:val="18"/>
                      <w:szCs w:val="18"/>
                    </w:rPr>
                    <w:t>(8.9)</w:t>
                  </w:r>
                </w:p>
              </w:tc>
            </w:tr>
            <w:tr w:rsidR="00F22D35" w14:paraId="5B6FDD85" w14:textId="77777777" w:rsidTr="00F22D35">
              <w:tc>
                <w:tcPr>
                  <w:tcW w:w="2424" w:type="dxa"/>
                </w:tcPr>
                <w:p w14:paraId="1695F229" w14:textId="0784B258" w:rsidR="00F22D35" w:rsidRDefault="00F22D35" w:rsidP="00D64382">
                  <w:pPr>
                    <w:spacing w:before="120" w:after="120"/>
                    <w:jc w:val="both"/>
                    <w:rPr>
                      <w:rFonts w:eastAsiaTheme="minorHAnsi" w:cs="Arial"/>
                      <w:iCs/>
                      <w:sz w:val="18"/>
                      <w:szCs w:val="18"/>
                    </w:rPr>
                  </w:pPr>
                  <w:r>
                    <w:rPr>
                      <w:rFonts w:eastAsiaTheme="minorHAnsi" w:cs="Arial"/>
                      <w:iCs/>
                      <w:sz w:val="18"/>
                      <w:szCs w:val="18"/>
                    </w:rPr>
                    <w:t>GDPR</w:t>
                  </w:r>
                </w:p>
              </w:tc>
              <w:tc>
                <w:tcPr>
                  <w:tcW w:w="1476" w:type="dxa"/>
                </w:tcPr>
                <w:p w14:paraId="1177DF39" w14:textId="08BA8894" w:rsidR="00F22D35" w:rsidRDefault="00F22D35" w:rsidP="00D64382">
                  <w:pPr>
                    <w:spacing w:before="120" w:after="120"/>
                    <w:jc w:val="both"/>
                    <w:rPr>
                      <w:rFonts w:eastAsiaTheme="minorHAnsi" w:cs="Arial"/>
                      <w:iCs/>
                      <w:sz w:val="18"/>
                      <w:szCs w:val="18"/>
                    </w:rPr>
                  </w:pPr>
                  <w:r>
                    <w:rPr>
                      <w:rFonts w:eastAsiaTheme="minorHAnsi" w:cs="Arial"/>
                      <w:iCs/>
                      <w:sz w:val="18"/>
                      <w:szCs w:val="18"/>
                    </w:rPr>
                    <w:t>10</w:t>
                  </w:r>
                </w:p>
              </w:tc>
              <w:tc>
                <w:tcPr>
                  <w:tcW w:w="1350" w:type="dxa"/>
                </w:tcPr>
                <w:p w14:paraId="3EBB3665" w14:textId="7716487D" w:rsidR="00F22D35" w:rsidRDefault="00F22D35" w:rsidP="00D64382">
                  <w:pPr>
                    <w:spacing w:before="120" w:after="120"/>
                    <w:jc w:val="both"/>
                    <w:rPr>
                      <w:rFonts w:eastAsiaTheme="minorHAnsi" w:cs="Arial"/>
                      <w:iCs/>
                      <w:sz w:val="18"/>
                      <w:szCs w:val="18"/>
                    </w:rPr>
                  </w:pPr>
                  <w:r>
                    <w:rPr>
                      <w:rFonts w:eastAsiaTheme="minorHAnsi" w:cs="Arial"/>
                      <w:iCs/>
                      <w:sz w:val="18"/>
                      <w:szCs w:val="18"/>
                    </w:rPr>
                    <w:t>43.1</w:t>
                  </w:r>
                </w:p>
              </w:tc>
              <w:tc>
                <w:tcPr>
                  <w:tcW w:w="1080" w:type="dxa"/>
                </w:tcPr>
                <w:p w14:paraId="2F228C5F" w14:textId="37F3F7C9" w:rsidR="00F22D35" w:rsidRDefault="00F22D35" w:rsidP="00D64382">
                  <w:pPr>
                    <w:spacing w:before="120" w:after="120"/>
                    <w:jc w:val="both"/>
                    <w:rPr>
                      <w:rFonts w:eastAsiaTheme="minorHAnsi" w:cs="Arial"/>
                      <w:iCs/>
                      <w:sz w:val="18"/>
                      <w:szCs w:val="18"/>
                    </w:rPr>
                  </w:pPr>
                  <w:r>
                    <w:rPr>
                      <w:rFonts w:eastAsiaTheme="minorHAnsi" w:cs="Arial"/>
                      <w:iCs/>
                      <w:sz w:val="18"/>
                      <w:szCs w:val="18"/>
                    </w:rPr>
                    <w:t>(33.1)</w:t>
                  </w:r>
                </w:p>
              </w:tc>
            </w:tr>
          </w:tbl>
          <w:p w14:paraId="7D6FFBE9" w14:textId="441D4408" w:rsidR="00F22D35" w:rsidRDefault="00F22D35" w:rsidP="00D64382">
            <w:pPr>
              <w:spacing w:before="120" w:after="120"/>
              <w:jc w:val="both"/>
              <w:rPr>
                <w:rFonts w:eastAsiaTheme="minorHAnsi" w:cs="Arial"/>
                <w:iCs/>
                <w:sz w:val="18"/>
                <w:szCs w:val="18"/>
              </w:rPr>
            </w:pPr>
          </w:p>
        </w:tc>
      </w:tr>
      <w:tr w:rsidR="00F22D35" w:rsidRPr="006A0EC0" w14:paraId="5B6588FF" w14:textId="77777777" w:rsidTr="00D64382">
        <w:tc>
          <w:tcPr>
            <w:tcW w:w="851" w:type="dxa"/>
            <w:tcBorders>
              <w:top w:val="nil"/>
              <w:left w:val="single" w:sz="6" w:space="0" w:color="auto"/>
              <w:bottom w:val="nil"/>
            </w:tcBorders>
          </w:tcPr>
          <w:p w14:paraId="3E5168F0" w14:textId="4913A4CE" w:rsidR="00F22D35" w:rsidRDefault="004E79AC" w:rsidP="000641D0">
            <w:pPr>
              <w:spacing w:before="120" w:after="120"/>
              <w:jc w:val="center"/>
              <w:rPr>
                <w:sz w:val="20"/>
                <w:szCs w:val="20"/>
              </w:rPr>
            </w:pPr>
            <w:r>
              <w:rPr>
                <w:sz w:val="20"/>
                <w:szCs w:val="20"/>
              </w:rPr>
              <w:t>5.4</w:t>
            </w:r>
          </w:p>
        </w:tc>
        <w:tc>
          <w:tcPr>
            <w:tcW w:w="9922" w:type="dxa"/>
            <w:tcBorders>
              <w:top w:val="nil"/>
              <w:bottom w:val="nil"/>
            </w:tcBorders>
          </w:tcPr>
          <w:p w14:paraId="7ABE20C6" w14:textId="7D5EB61E" w:rsidR="00F22D35" w:rsidRPr="00F22D35" w:rsidRDefault="00F22D35" w:rsidP="00F22D35">
            <w:pPr>
              <w:spacing w:before="120" w:after="120"/>
              <w:jc w:val="both"/>
              <w:rPr>
                <w:rFonts w:cs="Arial"/>
                <w:sz w:val="18"/>
                <w:szCs w:val="18"/>
              </w:rPr>
            </w:pPr>
            <w:r>
              <w:rPr>
                <w:rFonts w:cs="Arial"/>
                <w:sz w:val="20"/>
                <w:szCs w:val="20"/>
              </w:rPr>
              <w:t xml:space="preserve">Further in the original plan 60 days was included in order to respond to risks arising throughout the year, as can be seen from page 2 of the table the actual number of days work undertaken against these is </w:t>
            </w:r>
            <w:r w:rsidR="00AC0FFC">
              <w:rPr>
                <w:rFonts w:cs="Arial"/>
                <w:sz w:val="20"/>
                <w:szCs w:val="20"/>
              </w:rPr>
              <w:t>163.9</w:t>
            </w:r>
            <w:r>
              <w:rPr>
                <w:rFonts w:cs="Arial"/>
                <w:sz w:val="20"/>
                <w:szCs w:val="20"/>
              </w:rPr>
              <w:t>, a variance of (</w:t>
            </w:r>
            <w:r w:rsidR="00AC0FFC">
              <w:rPr>
                <w:rFonts w:cs="Arial"/>
                <w:sz w:val="20"/>
                <w:szCs w:val="20"/>
              </w:rPr>
              <w:t>103.9</w:t>
            </w:r>
            <w:r>
              <w:rPr>
                <w:rFonts w:cs="Arial"/>
                <w:sz w:val="20"/>
                <w:szCs w:val="20"/>
              </w:rPr>
              <w:t xml:space="preserve">) days.  This allocation included </w:t>
            </w:r>
            <w:r w:rsidR="00AC0FFC">
              <w:rPr>
                <w:rFonts w:cs="Arial"/>
                <w:sz w:val="20"/>
                <w:szCs w:val="20"/>
              </w:rPr>
              <w:t xml:space="preserve">2 </w:t>
            </w:r>
            <w:r>
              <w:rPr>
                <w:rFonts w:cs="Arial"/>
                <w:sz w:val="20"/>
                <w:szCs w:val="20"/>
              </w:rPr>
              <w:t>significant piece</w:t>
            </w:r>
            <w:r w:rsidR="00AC0FFC">
              <w:rPr>
                <w:rFonts w:cs="Arial"/>
                <w:sz w:val="20"/>
                <w:szCs w:val="20"/>
              </w:rPr>
              <w:t>s</w:t>
            </w:r>
            <w:r>
              <w:rPr>
                <w:rFonts w:cs="Arial"/>
                <w:sz w:val="20"/>
                <w:szCs w:val="20"/>
              </w:rPr>
              <w:t xml:space="preserve"> of work relating to governance issues arising</w:t>
            </w:r>
            <w:r w:rsidR="00AC0FFC">
              <w:rPr>
                <w:rFonts w:cs="Arial"/>
                <w:sz w:val="20"/>
                <w:szCs w:val="20"/>
              </w:rPr>
              <w:t xml:space="preserve"> </w:t>
            </w:r>
            <w:r>
              <w:rPr>
                <w:rFonts w:cs="Arial"/>
                <w:sz w:val="20"/>
                <w:szCs w:val="20"/>
              </w:rPr>
              <w:t>, these are:-</w:t>
            </w:r>
          </w:p>
          <w:tbl>
            <w:tblPr>
              <w:tblStyle w:val="TableGrid"/>
              <w:tblW w:w="0" w:type="auto"/>
              <w:tblLayout w:type="fixed"/>
              <w:tblLook w:val="04A0" w:firstRow="1" w:lastRow="0" w:firstColumn="1" w:lastColumn="0" w:noHBand="0" w:noVBand="1"/>
            </w:tblPr>
            <w:tblGrid>
              <w:gridCol w:w="2424"/>
              <w:gridCol w:w="1566"/>
              <w:gridCol w:w="1260"/>
              <w:gridCol w:w="1080"/>
            </w:tblGrid>
            <w:tr w:rsidR="00F22D35" w:rsidRPr="00F22D35" w14:paraId="0BD18740" w14:textId="77777777" w:rsidTr="00F22D35">
              <w:tc>
                <w:tcPr>
                  <w:tcW w:w="2424" w:type="dxa"/>
                </w:tcPr>
                <w:p w14:paraId="46F8A98A" w14:textId="4E4B2243" w:rsidR="00F22D35" w:rsidRPr="00F22D35" w:rsidRDefault="00F22D35" w:rsidP="00F22D35">
                  <w:pPr>
                    <w:spacing w:before="120" w:after="120"/>
                    <w:jc w:val="center"/>
                    <w:rPr>
                      <w:rFonts w:cs="Arial"/>
                      <w:b/>
                      <w:sz w:val="18"/>
                      <w:szCs w:val="18"/>
                    </w:rPr>
                  </w:pPr>
                  <w:r w:rsidRPr="00F22D35">
                    <w:rPr>
                      <w:rFonts w:cs="Arial"/>
                      <w:b/>
                      <w:sz w:val="18"/>
                      <w:szCs w:val="18"/>
                    </w:rPr>
                    <w:t>Audit</w:t>
                  </w:r>
                </w:p>
              </w:tc>
              <w:tc>
                <w:tcPr>
                  <w:tcW w:w="1566" w:type="dxa"/>
                </w:tcPr>
                <w:p w14:paraId="4C8CDC43" w14:textId="336E49CB" w:rsidR="00F22D35" w:rsidRPr="00F22D35" w:rsidRDefault="00F22D35" w:rsidP="00F22D35">
                  <w:pPr>
                    <w:spacing w:before="120" w:after="120"/>
                    <w:jc w:val="center"/>
                    <w:rPr>
                      <w:rFonts w:cs="Arial"/>
                      <w:b/>
                      <w:sz w:val="18"/>
                      <w:szCs w:val="18"/>
                    </w:rPr>
                  </w:pPr>
                  <w:r w:rsidRPr="00F22D35">
                    <w:rPr>
                      <w:rFonts w:cs="Arial"/>
                      <w:b/>
                      <w:sz w:val="18"/>
                      <w:szCs w:val="18"/>
                    </w:rPr>
                    <w:t>Planned Days</w:t>
                  </w:r>
                </w:p>
              </w:tc>
              <w:tc>
                <w:tcPr>
                  <w:tcW w:w="1260" w:type="dxa"/>
                </w:tcPr>
                <w:p w14:paraId="52EADAF8" w14:textId="2911C857" w:rsidR="00F22D35" w:rsidRPr="00F22D35" w:rsidRDefault="00F22D35" w:rsidP="00F22D35">
                  <w:pPr>
                    <w:spacing w:before="120" w:after="120"/>
                    <w:jc w:val="center"/>
                    <w:rPr>
                      <w:rFonts w:cs="Arial"/>
                      <w:b/>
                      <w:sz w:val="18"/>
                      <w:szCs w:val="18"/>
                    </w:rPr>
                  </w:pPr>
                  <w:r w:rsidRPr="00F22D35">
                    <w:rPr>
                      <w:rFonts w:cs="Arial"/>
                      <w:b/>
                      <w:sz w:val="18"/>
                      <w:szCs w:val="18"/>
                    </w:rPr>
                    <w:t>Actual Days</w:t>
                  </w:r>
                </w:p>
              </w:tc>
              <w:tc>
                <w:tcPr>
                  <w:tcW w:w="1080" w:type="dxa"/>
                </w:tcPr>
                <w:p w14:paraId="16DF33C3" w14:textId="3B13D205" w:rsidR="00F22D35" w:rsidRPr="00F22D35" w:rsidRDefault="00F22D35" w:rsidP="00F22D35">
                  <w:pPr>
                    <w:spacing w:before="120" w:after="120"/>
                    <w:jc w:val="center"/>
                    <w:rPr>
                      <w:rFonts w:cs="Arial"/>
                      <w:b/>
                      <w:sz w:val="18"/>
                      <w:szCs w:val="18"/>
                    </w:rPr>
                  </w:pPr>
                  <w:r>
                    <w:rPr>
                      <w:rFonts w:cs="Arial"/>
                      <w:b/>
                      <w:sz w:val="18"/>
                      <w:szCs w:val="18"/>
                    </w:rPr>
                    <w:t>Variance</w:t>
                  </w:r>
                </w:p>
              </w:tc>
            </w:tr>
            <w:tr w:rsidR="00F22D35" w14:paraId="4D6A9F5A" w14:textId="77777777" w:rsidTr="00F22D35">
              <w:tc>
                <w:tcPr>
                  <w:tcW w:w="2424" w:type="dxa"/>
                </w:tcPr>
                <w:p w14:paraId="003E59B3" w14:textId="026CCEFB" w:rsidR="00F22D35" w:rsidRPr="00AC0FFC" w:rsidRDefault="00F22D35" w:rsidP="00F22D35">
                  <w:pPr>
                    <w:spacing w:before="120" w:after="120"/>
                    <w:jc w:val="both"/>
                    <w:rPr>
                      <w:rFonts w:cs="Arial"/>
                      <w:sz w:val="20"/>
                      <w:szCs w:val="20"/>
                    </w:rPr>
                  </w:pPr>
                  <w:r w:rsidRPr="00AC0FFC">
                    <w:rPr>
                      <w:rFonts w:cs="Arial"/>
                      <w:sz w:val="20"/>
                      <w:szCs w:val="20"/>
                    </w:rPr>
                    <w:t>IRG / AGS</w:t>
                  </w:r>
                </w:p>
              </w:tc>
              <w:tc>
                <w:tcPr>
                  <w:tcW w:w="1566" w:type="dxa"/>
                </w:tcPr>
                <w:p w14:paraId="7303EB63" w14:textId="71F848F3" w:rsidR="00AC0FFC" w:rsidRPr="00AC0FFC" w:rsidRDefault="00F22D35" w:rsidP="00F22D35">
                  <w:pPr>
                    <w:spacing w:before="120" w:after="120"/>
                    <w:jc w:val="both"/>
                    <w:rPr>
                      <w:rFonts w:cs="Arial"/>
                      <w:sz w:val="20"/>
                      <w:szCs w:val="20"/>
                    </w:rPr>
                  </w:pPr>
                  <w:r w:rsidRPr="00AC0FFC">
                    <w:rPr>
                      <w:rFonts w:cs="Arial"/>
                      <w:sz w:val="20"/>
                      <w:szCs w:val="20"/>
                    </w:rPr>
                    <w:t>60</w:t>
                  </w:r>
                  <w:r w:rsidR="00AC0FFC" w:rsidRPr="00AC0FFC">
                    <w:rPr>
                      <w:rFonts w:cs="Arial"/>
                      <w:sz w:val="20"/>
                      <w:szCs w:val="20"/>
                    </w:rPr>
                    <w:t xml:space="preserve"> (overall)</w:t>
                  </w:r>
                </w:p>
              </w:tc>
              <w:tc>
                <w:tcPr>
                  <w:tcW w:w="1260" w:type="dxa"/>
                </w:tcPr>
                <w:p w14:paraId="786A1A1E" w14:textId="70DD0C7A" w:rsidR="00F22D35" w:rsidRPr="00AC0FFC" w:rsidRDefault="00AC0FFC" w:rsidP="00F22D35">
                  <w:pPr>
                    <w:spacing w:before="120" w:after="120"/>
                    <w:jc w:val="both"/>
                    <w:rPr>
                      <w:rFonts w:cs="Arial"/>
                      <w:sz w:val="20"/>
                      <w:szCs w:val="20"/>
                    </w:rPr>
                  </w:pPr>
                  <w:r w:rsidRPr="00AC0FFC">
                    <w:rPr>
                      <w:rFonts w:cs="Arial"/>
                      <w:sz w:val="20"/>
                      <w:szCs w:val="20"/>
                    </w:rPr>
                    <w:t>72.3</w:t>
                  </w:r>
                </w:p>
              </w:tc>
              <w:tc>
                <w:tcPr>
                  <w:tcW w:w="1080" w:type="dxa"/>
                </w:tcPr>
                <w:p w14:paraId="1978E15E" w14:textId="77777777" w:rsidR="00F22D35" w:rsidRPr="00AC0FFC" w:rsidRDefault="00F22D35" w:rsidP="00F22D35">
                  <w:pPr>
                    <w:spacing w:before="120" w:after="120"/>
                    <w:jc w:val="both"/>
                    <w:rPr>
                      <w:rFonts w:cs="Arial"/>
                      <w:sz w:val="20"/>
                      <w:szCs w:val="20"/>
                    </w:rPr>
                  </w:pPr>
                </w:p>
              </w:tc>
            </w:tr>
            <w:tr w:rsidR="00AC0FFC" w14:paraId="46AC152A" w14:textId="77777777" w:rsidTr="00F22D35">
              <w:tc>
                <w:tcPr>
                  <w:tcW w:w="2424" w:type="dxa"/>
                </w:tcPr>
                <w:p w14:paraId="42D35FB2" w14:textId="52B4D7DB" w:rsidR="00AC0FFC" w:rsidRPr="00AC0FFC" w:rsidRDefault="00AC0FFC" w:rsidP="00F22D35">
                  <w:pPr>
                    <w:spacing w:before="120" w:after="120"/>
                    <w:jc w:val="both"/>
                    <w:rPr>
                      <w:rFonts w:cs="Arial"/>
                      <w:sz w:val="20"/>
                      <w:szCs w:val="20"/>
                    </w:rPr>
                  </w:pPr>
                  <w:r>
                    <w:rPr>
                      <w:rFonts w:cs="Arial"/>
                      <w:sz w:val="20"/>
                      <w:szCs w:val="20"/>
                    </w:rPr>
                    <w:t>H&amp;W Leisure Campus</w:t>
                  </w:r>
                </w:p>
              </w:tc>
              <w:tc>
                <w:tcPr>
                  <w:tcW w:w="1566" w:type="dxa"/>
                </w:tcPr>
                <w:p w14:paraId="420B102C" w14:textId="77777777" w:rsidR="00AC0FFC" w:rsidRPr="00AC0FFC" w:rsidRDefault="00AC0FFC" w:rsidP="00F22D35">
                  <w:pPr>
                    <w:spacing w:before="120" w:after="120"/>
                    <w:jc w:val="both"/>
                    <w:rPr>
                      <w:rFonts w:cs="Arial"/>
                      <w:sz w:val="20"/>
                      <w:szCs w:val="20"/>
                    </w:rPr>
                  </w:pPr>
                </w:p>
              </w:tc>
              <w:tc>
                <w:tcPr>
                  <w:tcW w:w="1260" w:type="dxa"/>
                </w:tcPr>
                <w:p w14:paraId="3D784007" w14:textId="7EC9C01A" w:rsidR="00AC0FFC" w:rsidRPr="00AC0FFC" w:rsidRDefault="00AC0FFC" w:rsidP="00F22D35">
                  <w:pPr>
                    <w:spacing w:before="120" w:after="120"/>
                    <w:jc w:val="both"/>
                    <w:rPr>
                      <w:rFonts w:cs="Arial"/>
                      <w:sz w:val="20"/>
                      <w:szCs w:val="20"/>
                    </w:rPr>
                  </w:pPr>
                  <w:r>
                    <w:rPr>
                      <w:rFonts w:cs="Arial"/>
                      <w:sz w:val="20"/>
                      <w:szCs w:val="20"/>
                    </w:rPr>
                    <w:t>57.8</w:t>
                  </w:r>
                </w:p>
              </w:tc>
              <w:tc>
                <w:tcPr>
                  <w:tcW w:w="1080" w:type="dxa"/>
                </w:tcPr>
                <w:p w14:paraId="493D106E" w14:textId="77777777" w:rsidR="00AC0FFC" w:rsidRPr="00AC0FFC" w:rsidRDefault="00AC0FFC" w:rsidP="00F22D35">
                  <w:pPr>
                    <w:spacing w:before="120" w:after="120"/>
                    <w:jc w:val="both"/>
                    <w:rPr>
                      <w:rFonts w:cs="Arial"/>
                      <w:sz w:val="20"/>
                      <w:szCs w:val="20"/>
                    </w:rPr>
                  </w:pPr>
                </w:p>
              </w:tc>
            </w:tr>
            <w:tr w:rsidR="00AA17B7" w14:paraId="52D5FEED" w14:textId="77777777" w:rsidTr="00F22D35">
              <w:tc>
                <w:tcPr>
                  <w:tcW w:w="2424" w:type="dxa"/>
                </w:tcPr>
                <w:p w14:paraId="60F7638D" w14:textId="76A1B0BF" w:rsidR="00AA17B7" w:rsidRPr="00AA17B7" w:rsidRDefault="00AA17B7" w:rsidP="00F22D35">
                  <w:pPr>
                    <w:spacing w:before="120" w:after="120"/>
                    <w:jc w:val="both"/>
                    <w:rPr>
                      <w:rFonts w:cs="Arial"/>
                      <w:b/>
                      <w:sz w:val="20"/>
                      <w:szCs w:val="20"/>
                    </w:rPr>
                  </w:pPr>
                  <w:r>
                    <w:rPr>
                      <w:rFonts w:cs="Arial"/>
                      <w:b/>
                      <w:sz w:val="20"/>
                      <w:szCs w:val="20"/>
                    </w:rPr>
                    <w:t>Total</w:t>
                  </w:r>
                </w:p>
              </w:tc>
              <w:tc>
                <w:tcPr>
                  <w:tcW w:w="1566" w:type="dxa"/>
                </w:tcPr>
                <w:p w14:paraId="0DB312F5" w14:textId="77777777" w:rsidR="00AA17B7" w:rsidRPr="00AC0FFC" w:rsidRDefault="00AA17B7" w:rsidP="00F22D35">
                  <w:pPr>
                    <w:spacing w:before="120" w:after="120"/>
                    <w:jc w:val="both"/>
                    <w:rPr>
                      <w:rFonts w:cs="Arial"/>
                      <w:sz w:val="20"/>
                      <w:szCs w:val="20"/>
                    </w:rPr>
                  </w:pPr>
                </w:p>
              </w:tc>
              <w:tc>
                <w:tcPr>
                  <w:tcW w:w="1260" w:type="dxa"/>
                </w:tcPr>
                <w:p w14:paraId="29EB08B6" w14:textId="77777777" w:rsidR="00AA17B7" w:rsidRDefault="00AA17B7" w:rsidP="00F22D35">
                  <w:pPr>
                    <w:spacing w:before="120" w:after="120"/>
                    <w:jc w:val="both"/>
                    <w:rPr>
                      <w:rFonts w:cs="Arial"/>
                      <w:sz w:val="20"/>
                      <w:szCs w:val="20"/>
                    </w:rPr>
                  </w:pPr>
                </w:p>
              </w:tc>
              <w:tc>
                <w:tcPr>
                  <w:tcW w:w="1080" w:type="dxa"/>
                </w:tcPr>
                <w:p w14:paraId="38BA0170" w14:textId="79DF2FB0" w:rsidR="00AA17B7" w:rsidRPr="00AC0FFC" w:rsidRDefault="00AA17B7" w:rsidP="00F22D35">
                  <w:pPr>
                    <w:spacing w:before="120" w:after="120"/>
                    <w:jc w:val="both"/>
                    <w:rPr>
                      <w:rFonts w:cs="Arial"/>
                      <w:sz w:val="20"/>
                      <w:szCs w:val="20"/>
                    </w:rPr>
                  </w:pPr>
                  <w:r>
                    <w:rPr>
                      <w:rFonts w:cs="Arial"/>
                      <w:sz w:val="20"/>
                      <w:szCs w:val="20"/>
                    </w:rPr>
                    <w:t>130.1</w:t>
                  </w:r>
                </w:p>
              </w:tc>
            </w:tr>
            <w:tr w:rsidR="00AC0FFC" w14:paraId="04C7C164" w14:textId="77777777" w:rsidTr="00AC0FFC">
              <w:tc>
                <w:tcPr>
                  <w:tcW w:w="6330" w:type="dxa"/>
                  <w:gridSpan w:val="4"/>
                </w:tcPr>
                <w:p w14:paraId="1014B09A" w14:textId="221FFB67" w:rsidR="00AC0FFC" w:rsidRPr="00AC0FFC" w:rsidRDefault="00AC0FFC" w:rsidP="00AA17B7">
                  <w:pPr>
                    <w:spacing w:before="120" w:after="120"/>
                    <w:jc w:val="both"/>
                    <w:rPr>
                      <w:rFonts w:cs="Arial"/>
                      <w:sz w:val="20"/>
                      <w:szCs w:val="20"/>
                    </w:rPr>
                  </w:pPr>
                  <w:r>
                    <w:rPr>
                      <w:rFonts w:cs="Arial"/>
                      <w:b/>
                      <w:sz w:val="20"/>
                      <w:szCs w:val="20"/>
                    </w:rPr>
                    <w:t>NB.</w:t>
                  </w:r>
                  <w:r>
                    <w:rPr>
                      <w:rFonts w:cs="Arial"/>
                      <w:sz w:val="20"/>
                      <w:szCs w:val="20"/>
                    </w:rPr>
                    <w:t>the planned days and variance refer to overall allocation as outlined in document</w:t>
                  </w:r>
                  <w:r w:rsidR="00AA17B7">
                    <w:rPr>
                      <w:rFonts w:cs="Arial"/>
                      <w:sz w:val="20"/>
                      <w:szCs w:val="20"/>
                    </w:rPr>
                    <w:t xml:space="preserve"> and in above para.</w:t>
                  </w:r>
                </w:p>
              </w:tc>
            </w:tr>
          </w:tbl>
          <w:p w14:paraId="54339EF2" w14:textId="18AAF7FC" w:rsidR="00F22D35" w:rsidRDefault="00F22D35" w:rsidP="00F22D35">
            <w:pPr>
              <w:spacing w:before="120" w:after="120"/>
              <w:jc w:val="both"/>
              <w:rPr>
                <w:rFonts w:cs="Arial"/>
                <w:sz w:val="20"/>
                <w:szCs w:val="20"/>
              </w:rPr>
            </w:pPr>
          </w:p>
        </w:tc>
      </w:tr>
      <w:tr w:rsidR="00AC0FFC" w:rsidRPr="006A0EC0" w14:paraId="352EA602" w14:textId="77777777" w:rsidTr="00AA17B7">
        <w:tc>
          <w:tcPr>
            <w:tcW w:w="851" w:type="dxa"/>
            <w:tcBorders>
              <w:top w:val="nil"/>
              <w:left w:val="single" w:sz="6" w:space="0" w:color="auto"/>
              <w:bottom w:val="nil"/>
            </w:tcBorders>
          </w:tcPr>
          <w:p w14:paraId="6B44C3C3" w14:textId="77777777" w:rsidR="00AC0FFC" w:rsidRDefault="00AC0FFC" w:rsidP="000641D0">
            <w:pPr>
              <w:spacing w:before="120" w:after="120"/>
              <w:jc w:val="center"/>
              <w:rPr>
                <w:sz w:val="20"/>
                <w:szCs w:val="20"/>
              </w:rPr>
            </w:pPr>
          </w:p>
        </w:tc>
        <w:tc>
          <w:tcPr>
            <w:tcW w:w="9922" w:type="dxa"/>
            <w:tcBorders>
              <w:top w:val="nil"/>
              <w:bottom w:val="nil"/>
            </w:tcBorders>
          </w:tcPr>
          <w:p w14:paraId="4816FE82" w14:textId="3FFC5378" w:rsidR="00AC0FFC" w:rsidRDefault="00AA17B7" w:rsidP="0018288B">
            <w:pPr>
              <w:spacing w:before="120" w:after="120"/>
              <w:jc w:val="both"/>
              <w:rPr>
                <w:rFonts w:cs="Arial"/>
                <w:sz w:val="20"/>
                <w:szCs w:val="20"/>
              </w:rPr>
            </w:pPr>
            <w:r>
              <w:rPr>
                <w:rFonts w:cs="Arial"/>
                <w:sz w:val="20"/>
                <w:szCs w:val="20"/>
              </w:rPr>
              <w:t xml:space="preserve">This equates to </w:t>
            </w:r>
            <w:r w:rsidRPr="00AA17B7">
              <w:rPr>
                <w:rFonts w:cs="Arial"/>
                <w:b/>
                <w:sz w:val="20"/>
                <w:szCs w:val="20"/>
              </w:rPr>
              <w:t>172.1</w:t>
            </w:r>
            <w:r>
              <w:rPr>
                <w:rFonts w:cs="Arial"/>
                <w:sz w:val="20"/>
                <w:szCs w:val="20"/>
              </w:rPr>
              <w:t xml:space="preserve"> days extra work on governance issues.</w:t>
            </w:r>
          </w:p>
        </w:tc>
      </w:tr>
      <w:tr w:rsidR="00AA17B7" w:rsidRPr="006A0EC0" w14:paraId="444134CE" w14:textId="77777777" w:rsidTr="00AA17B7">
        <w:tc>
          <w:tcPr>
            <w:tcW w:w="851" w:type="dxa"/>
            <w:tcBorders>
              <w:top w:val="nil"/>
              <w:left w:val="single" w:sz="6" w:space="0" w:color="auto"/>
              <w:bottom w:val="single" w:sz="6" w:space="0" w:color="auto"/>
            </w:tcBorders>
          </w:tcPr>
          <w:p w14:paraId="304838AF" w14:textId="11A64410" w:rsidR="00AA17B7" w:rsidRDefault="004E79AC" w:rsidP="000641D0">
            <w:pPr>
              <w:spacing w:before="120" w:after="120"/>
              <w:jc w:val="center"/>
              <w:rPr>
                <w:sz w:val="20"/>
                <w:szCs w:val="20"/>
              </w:rPr>
            </w:pPr>
            <w:r>
              <w:rPr>
                <w:sz w:val="20"/>
                <w:szCs w:val="20"/>
              </w:rPr>
              <w:t>5.5</w:t>
            </w:r>
          </w:p>
        </w:tc>
        <w:tc>
          <w:tcPr>
            <w:tcW w:w="9922" w:type="dxa"/>
            <w:tcBorders>
              <w:top w:val="nil"/>
              <w:bottom w:val="single" w:sz="6" w:space="0" w:color="auto"/>
            </w:tcBorders>
          </w:tcPr>
          <w:p w14:paraId="5DB357EE" w14:textId="5869FE3C" w:rsidR="00AA17B7" w:rsidRDefault="00AA17B7" w:rsidP="00692F06">
            <w:pPr>
              <w:spacing w:before="120" w:after="120"/>
              <w:jc w:val="both"/>
              <w:rPr>
                <w:rFonts w:cs="Arial"/>
                <w:sz w:val="20"/>
                <w:szCs w:val="20"/>
              </w:rPr>
            </w:pPr>
            <w:r>
              <w:rPr>
                <w:rFonts w:cs="Arial"/>
                <w:sz w:val="20"/>
                <w:szCs w:val="20"/>
              </w:rPr>
              <w:t>The extra work in regard to core audit work reflects the significant risks identified in relation to a number</w:t>
            </w:r>
            <w:r w:rsidR="00692F06">
              <w:rPr>
                <w:rFonts w:cs="Arial"/>
                <w:sz w:val="20"/>
                <w:szCs w:val="20"/>
              </w:rPr>
              <w:t xml:space="preserve"> of key areas of work including;</w:t>
            </w:r>
            <w:r>
              <w:rPr>
                <w:rFonts w:cs="Arial"/>
                <w:sz w:val="20"/>
                <w:szCs w:val="20"/>
              </w:rPr>
              <w:t xml:space="preserve"> GDPR</w:t>
            </w:r>
            <w:r w:rsidR="00692F06">
              <w:rPr>
                <w:rFonts w:cs="Arial"/>
                <w:sz w:val="20"/>
                <w:szCs w:val="20"/>
              </w:rPr>
              <w:t xml:space="preserve">, </w:t>
            </w:r>
            <w:r>
              <w:rPr>
                <w:rFonts w:cs="Arial"/>
                <w:sz w:val="20"/>
                <w:szCs w:val="20"/>
              </w:rPr>
              <w:t xml:space="preserve">Governance work relating to the IRG and </w:t>
            </w:r>
            <w:r w:rsidR="00692F06">
              <w:rPr>
                <w:rFonts w:cs="Arial"/>
                <w:sz w:val="20"/>
                <w:szCs w:val="20"/>
              </w:rPr>
              <w:t xml:space="preserve">issues raised as part of the </w:t>
            </w:r>
            <w:r>
              <w:rPr>
                <w:rFonts w:cs="Arial"/>
                <w:sz w:val="20"/>
                <w:szCs w:val="20"/>
              </w:rPr>
              <w:t xml:space="preserve">Annual </w:t>
            </w:r>
            <w:r w:rsidR="00692F06">
              <w:rPr>
                <w:rFonts w:cs="Arial"/>
                <w:sz w:val="20"/>
                <w:szCs w:val="20"/>
              </w:rPr>
              <w:t>Governance</w:t>
            </w:r>
            <w:r>
              <w:rPr>
                <w:rFonts w:cs="Arial"/>
                <w:sz w:val="20"/>
                <w:szCs w:val="20"/>
              </w:rPr>
              <w:t xml:space="preserve"> Statement</w:t>
            </w:r>
            <w:r w:rsidR="00692F06">
              <w:rPr>
                <w:rFonts w:cs="Arial"/>
                <w:sz w:val="20"/>
                <w:szCs w:val="20"/>
              </w:rPr>
              <w:t xml:space="preserve"> and Governance issues in regard to large key projects, the H&amp;W Leisure Campus.</w:t>
            </w:r>
          </w:p>
        </w:tc>
      </w:tr>
    </w:tbl>
    <w:p w14:paraId="34BC7E24" w14:textId="77777777" w:rsidR="00AA17B7" w:rsidRDefault="00AA17B7">
      <w:r>
        <w:br w:type="page"/>
      </w:r>
    </w:p>
    <w:tbl>
      <w:tblPr>
        <w:tblW w:w="10773" w:type="dxa"/>
        <w:tblInd w:w="-46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851"/>
        <w:gridCol w:w="9922"/>
      </w:tblGrid>
      <w:tr w:rsidR="00AA17B7" w:rsidRPr="006A0EC0" w14:paraId="25244EEB" w14:textId="77777777" w:rsidTr="00AA17B7">
        <w:tc>
          <w:tcPr>
            <w:tcW w:w="851" w:type="dxa"/>
            <w:tcBorders>
              <w:top w:val="single" w:sz="6" w:space="0" w:color="auto"/>
              <w:left w:val="single" w:sz="6" w:space="0" w:color="auto"/>
              <w:bottom w:val="nil"/>
            </w:tcBorders>
          </w:tcPr>
          <w:p w14:paraId="37175155" w14:textId="328DC965" w:rsidR="00AA17B7" w:rsidRDefault="004E79AC" w:rsidP="000641D0">
            <w:pPr>
              <w:spacing w:before="120" w:after="120"/>
              <w:jc w:val="center"/>
              <w:rPr>
                <w:sz w:val="20"/>
                <w:szCs w:val="20"/>
              </w:rPr>
            </w:pPr>
            <w:r>
              <w:rPr>
                <w:sz w:val="20"/>
                <w:szCs w:val="20"/>
              </w:rPr>
              <w:lastRenderedPageBreak/>
              <w:t>5.6</w:t>
            </w:r>
          </w:p>
        </w:tc>
        <w:tc>
          <w:tcPr>
            <w:tcW w:w="9922" w:type="dxa"/>
            <w:tcBorders>
              <w:top w:val="single" w:sz="6" w:space="0" w:color="auto"/>
              <w:bottom w:val="nil"/>
            </w:tcBorders>
          </w:tcPr>
          <w:p w14:paraId="63FD121F" w14:textId="77777777" w:rsidR="00AA17B7" w:rsidRDefault="00AA17B7" w:rsidP="0018288B">
            <w:pPr>
              <w:spacing w:before="120" w:after="120"/>
              <w:jc w:val="both"/>
              <w:rPr>
                <w:rFonts w:cs="Arial"/>
                <w:sz w:val="20"/>
                <w:szCs w:val="20"/>
              </w:rPr>
            </w:pPr>
            <w:r>
              <w:rPr>
                <w:rFonts w:cs="Arial"/>
                <w:sz w:val="20"/>
                <w:szCs w:val="20"/>
              </w:rPr>
              <w:t>The investigation work is detailed on page 4 of the progress table and is outlined below:-</w:t>
            </w:r>
          </w:p>
          <w:tbl>
            <w:tblPr>
              <w:tblStyle w:val="TableGrid"/>
              <w:tblW w:w="0" w:type="auto"/>
              <w:tblLayout w:type="fixed"/>
              <w:tblLook w:val="04A0" w:firstRow="1" w:lastRow="0" w:firstColumn="1" w:lastColumn="0" w:noHBand="0" w:noVBand="1"/>
            </w:tblPr>
            <w:tblGrid>
              <w:gridCol w:w="4350"/>
              <w:gridCol w:w="1440"/>
              <w:gridCol w:w="1260"/>
              <w:gridCol w:w="1080"/>
            </w:tblGrid>
            <w:tr w:rsidR="00AA17B7" w:rsidRPr="00AA17B7" w14:paraId="482F2426" w14:textId="77777777" w:rsidTr="00AA17B7">
              <w:tc>
                <w:tcPr>
                  <w:tcW w:w="4350" w:type="dxa"/>
                </w:tcPr>
                <w:p w14:paraId="08A0EA38" w14:textId="3B186A4A" w:rsidR="00AA17B7" w:rsidRPr="00AA17B7" w:rsidRDefault="00AA17B7" w:rsidP="0018288B">
                  <w:pPr>
                    <w:spacing w:before="120" w:after="120"/>
                    <w:jc w:val="both"/>
                    <w:rPr>
                      <w:rFonts w:cs="Arial"/>
                      <w:b/>
                      <w:sz w:val="18"/>
                      <w:szCs w:val="18"/>
                    </w:rPr>
                  </w:pPr>
                  <w:r w:rsidRPr="00AA17B7">
                    <w:rPr>
                      <w:rFonts w:cs="Arial"/>
                      <w:b/>
                      <w:sz w:val="18"/>
                      <w:szCs w:val="18"/>
                    </w:rPr>
                    <w:t>Audit / Investigation</w:t>
                  </w:r>
                </w:p>
              </w:tc>
              <w:tc>
                <w:tcPr>
                  <w:tcW w:w="1440" w:type="dxa"/>
                </w:tcPr>
                <w:p w14:paraId="20460AD6" w14:textId="32B26C6E" w:rsidR="00AA17B7" w:rsidRPr="00AA17B7" w:rsidRDefault="00AA17B7" w:rsidP="0018288B">
                  <w:pPr>
                    <w:spacing w:before="120" w:after="120"/>
                    <w:jc w:val="both"/>
                    <w:rPr>
                      <w:rFonts w:cs="Arial"/>
                      <w:b/>
                      <w:sz w:val="18"/>
                      <w:szCs w:val="18"/>
                    </w:rPr>
                  </w:pPr>
                  <w:r w:rsidRPr="00AA17B7">
                    <w:rPr>
                      <w:rFonts w:cs="Arial"/>
                      <w:b/>
                      <w:sz w:val="18"/>
                      <w:szCs w:val="18"/>
                    </w:rPr>
                    <w:t>Planned Days</w:t>
                  </w:r>
                </w:p>
              </w:tc>
              <w:tc>
                <w:tcPr>
                  <w:tcW w:w="1260" w:type="dxa"/>
                </w:tcPr>
                <w:p w14:paraId="3A1A78D4" w14:textId="01F67FBF" w:rsidR="00AA17B7" w:rsidRPr="00AA17B7" w:rsidRDefault="00AA17B7" w:rsidP="0018288B">
                  <w:pPr>
                    <w:spacing w:before="120" w:after="120"/>
                    <w:jc w:val="both"/>
                    <w:rPr>
                      <w:rFonts w:cs="Arial"/>
                      <w:b/>
                      <w:sz w:val="18"/>
                      <w:szCs w:val="18"/>
                    </w:rPr>
                  </w:pPr>
                  <w:r w:rsidRPr="00AA17B7">
                    <w:rPr>
                      <w:rFonts w:cs="Arial"/>
                      <w:b/>
                      <w:sz w:val="18"/>
                      <w:szCs w:val="18"/>
                    </w:rPr>
                    <w:t>Actual Days</w:t>
                  </w:r>
                </w:p>
              </w:tc>
              <w:tc>
                <w:tcPr>
                  <w:tcW w:w="1080" w:type="dxa"/>
                </w:tcPr>
                <w:p w14:paraId="249A22A0" w14:textId="688F764F" w:rsidR="00AA17B7" w:rsidRPr="00AA17B7" w:rsidRDefault="00AA17B7" w:rsidP="0018288B">
                  <w:pPr>
                    <w:spacing w:before="120" w:after="120"/>
                    <w:jc w:val="both"/>
                    <w:rPr>
                      <w:rFonts w:cs="Arial"/>
                      <w:b/>
                      <w:sz w:val="18"/>
                      <w:szCs w:val="18"/>
                    </w:rPr>
                  </w:pPr>
                  <w:r w:rsidRPr="00AA17B7">
                    <w:rPr>
                      <w:rFonts w:cs="Arial"/>
                      <w:b/>
                      <w:sz w:val="18"/>
                      <w:szCs w:val="18"/>
                    </w:rPr>
                    <w:t>Variance</w:t>
                  </w:r>
                </w:p>
              </w:tc>
            </w:tr>
            <w:tr w:rsidR="00AA17B7" w14:paraId="3F58A9EE" w14:textId="77777777" w:rsidTr="00AA17B7">
              <w:tc>
                <w:tcPr>
                  <w:tcW w:w="4350" w:type="dxa"/>
                </w:tcPr>
                <w:p w14:paraId="538A9F58" w14:textId="42705421" w:rsidR="00AA17B7" w:rsidRDefault="00AA17B7" w:rsidP="0018288B">
                  <w:pPr>
                    <w:spacing w:before="120" w:after="120"/>
                    <w:jc w:val="both"/>
                    <w:rPr>
                      <w:rFonts w:cs="Arial"/>
                      <w:sz w:val="20"/>
                      <w:szCs w:val="20"/>
                    </w:rPr>
                  </w:pPr>
                  <w:r>
                    <w:rPr>
                      <w:rFonts w:cs="Arial"/>
                      <w:sz w:val="20"/>
                      <w:szCs w:val="20"/>
                    </w:rPr>
                    <w:t>Recruitment Compliance</w:t>
                  </w:r>
                </w:p>
              </w:tc>
              <w:tc>
                <w:tcPr>
                  <w:tcW w:w="1440" w:type="dxa"/>
                </w:tcPr>
                <w:p w14:paraId="080FCF22" w14:textId="77777777" w:rsidR="00AA17B7" w:rsidRDefault="00AA17B7" w:rsidP="0018288B">
                  <w:pPr>
                    <w:spacing w:before="120" w:after="120"/>
                    <w:jc w:val="both"/>
                    <w:rPr>
                      <w:rFonts w:cs="Arial"/>
                      <w:sz w:val="20"/>
                      <w:szCs w:val="20"/>
                    </w:rPr>
                  </w:pPr>
                </w:p>
              </w:tc>
              <w:tc>
                <w:tcPr>
                  <w:tcW w:w="1260" w:type="dxa"/>
                </w:tcPr>
                <w:p w14:paraId="618A0EDC" w14:textId="547DD5F5" w:rsidR="00AA17B7" w:rsidRDefault="00AA17B7" w:rsidP="0018288B">
                  <w:pPr>
                    <w:spacing w:before="120" w:after="120"/>
                    <w:jc w:val="both"/>
                    <w:rPr>
                      <w:rFonts w:cs="Arial"/>
                      <w:sz w:val="20"/>
                      <w:szCs w:val="20"/>
                    </w:rPr>
                  </w:pPr>
                  <w:r>
                    <w:rPr>
                      <w:rFonts w:cs="Arial"/>
                      <w:sz w:val="20"/>
                      <w:szCs w:val="20"/>
                    </w:rPr>
                    <w:t>28</w:t>
                  </w:r>
                </w:p>
              </w:tc>
              <w:tc>
                <w:tcPr>
                  <w:tcW w:w="1080" w:type="dxa"/>
                </w:tcPr>
                <w:p w14:paraId="08690104" w14:textId="7A85EAA6" w:rsidR="00AA17B7" w:rsidRDefault="00AA17B7" w:rsidP="0018288B">
                  <w:pPr>
                    <w:spacing w:before="120" w:after="120"/>
                    <w:jc w:val="both"/>
                    <w:rPr>
                      <w:rFonts w:cs="Arial"/>
                      <w:sz w:val="20"/>
                      <w:szCs w:val="20"/>
                    </w:rPr>
                  </w:pPr>
                  <w:r>
                    <w:rPr>
                      <w:rFonts w:cs="Arial"/>
                      <w:sz w:val="20"/>
                      <w:szCs w:val="20"/>
                    </w:rPr>
                    <w:t>(28)</w:t>
                  </w:r>
                </w:p>
              </w:tc>
            </w:tr>
            <w:tr w:rsidR="00AA17B7" w14:paraId="0D000E58" w14:textId="77777777" w:rsidTr="00AA17B7">
              <w:tc>
                <w:tcPr>
                  <w:tcW w:w="4350" w:type="dxa"/>
                </w:tcPr>
                <w:p w14:paraId="477BE122" w14:textId="3A4C321D" w:rsidR="00AA17B7" w:rsidRDefault="00AA17B7" w:rsidP="0018288B">
                  <w:pPr>
                    <w:spacing w:before="120" w:after="120"/>
                    <w:jc w:val="both"/>
                    <w:rPr>
                      <w:rFonts w:cs="Arial"/>
                      <w:sz w:val="20"/>
                      <w:szCs w:val="20"/>
                    </w:rPr>
                  </w:pPr>
                  <w:r>
                    <w:rPr>
                      <w:rFonts w:cs="Arial"/>
                      <w:sz w:val="20"/>
                      <w:szCs w:val="20"/>
                    </w:rPr>
                    <w:t>Compliance with Council Financial Policies etc.</w:t>
                  </w:r>
                </w:p>
              </w:tc>
              <w:tc>
                <w:tcPr>
                  <w:tcW w:w="1440" w:type="dxa"/>
                </w:tcPr>
                <w:p w14:paraId="7678AEBD" w14:textId="77777777" w:rsidR="00AA17B7" w:rsidRDefault="00AA17B7" w:rsidP="0018288B">
                  <w:pPr>
                    <w:spacing w:before="120" w:after="120"/>
                    <w:jc w:val="both"/>
                    <w:rPr>
                      <w:rFonts w:cs="Arial"/>
                      <w:sz w:val="20"/>
                      <w:szCs w:val="20"/>
                    </w:rPr>
                  </w:pPr>
                </w:p>
              </w:tc>
              <w:tc>
                <w:tcPr>
                  <w:tcW w:w="1260" w:type="dxa"/>
                </w:tcPr>
                <w:p w14:paraId="0ED47D40" w14:textId="182B612C" w:rsidR="00AA17B7" w:rsidRDefault="00AA17B7" w:rsidP="0018288B">
                  <w:pPr>
                    <w:spacing w:before="120" w:after="120"/>
                    <w:jc w:val="both"/>
                    <w:rPr>
                      <w:rFonts w:cs="Arial"/>
                      <w:sz w:val="20"/>
                      <w:szCs w:val="20"/>
                    </w:rPr>
                  </w:pPr>
                  <w:r>
                    <w:rPr>
                      <w:rFonts w:cs="Arial"/>
                      <w:sz w:val="20"/>
                      <w:szCs w:val="20"/>
                    </w:rPr>
                    <w:t>45</w:t>
                  </w:r>
                </w:p>
              </w:tc>
              <w:tc>
                <w:tcPr>
                  <w:tcW w:w="1080" w:type="dxa"/>
                </w:tcPr>
                <w:p w14:paraId="08D5CC02" w14:textId="533B9845" w:rsidR="00AA17B7" w:rsidRDefault="00AA17B7" w:rsidP="0018288B">
                  <w:pPr>
                    <w:spacing w:before="120" w:after="120"/>
                    <w:jc w:val="both"/>
                    <w:rPr>
                      <w:rFonts w:cs="Arial"/>
                      <w:sz w:val="20"/>
                      <w:szCs w:val="20"/>
                    </w:rPr>
                  </w:pPr>
                  <w:r>
                    <w:rPr>
                      <w:rFonts w:cs="Arial"/>
                      <w:sz w:val="20"/>
                      <w:szCs w:val="20"/>
                    </w:rPr>
                    <w:t>(45)</w:t>
                  </w:r>
                </w:p>
              </w:tc>
            </w:tr>
            <w:tr w:rsidR="00AA17B7" w14:paraId="08A0C767" w14:textId="77777777" w:rsidTr="00AA17B7">
              <w:tc>
                <w:tcPr>
                  <w:tcW w:w="4350" w:type="dxa"/>
                </w:tcPr>
                <w:p w14:paraId="5633007D" w14:textId="304D6D41" w:rsidR="00AA17B7" w:rsidRDefault="00AA17B7" w:rsidP="0018288B">
                  <w:pPr>
                    <w:spacing w:before="120" w:after="120"/>
                    <w:jc w:val="both"/>
                    <w:rPr>
                      <w:rFonts w:cs="Arial"/>
                      <w:sz w:val="20"/>
                      <w:szCs w:val="20"/>
                    </w:rPr>
                  </w:pPr>
                  <w:r>
                    <w:rPr>
                      <w:rFonts w:cs="Arial"/>
                      <w:sz w:val="20"/>
                      <w:szCs w:val="20"/>
                    </w:rPr>
                    <w:t>Compliance with Capability Policy</w:t>
                  </w:r>
                </w:p>
              </w:tc>
              <w:tc>
                <w:tcPr>
                  <w:tcW w:w="1440" w:type="dxa"/>
                </w:tcPr>
                <w:p w14:paraId="7DA68FED" w14:textId="77777777" w:rsidR="00AA17B7" w:rsidRDefault="00AA17B7" w:rsidP="0018288B">
                  <w:pPr>
                    <w:spacing w:before="120" w:after="120"/>
                    <w:jc w:val="both"/>
                    <w:rPr>
                      <w:rFonts w:cs="Arial"/>
                      <w:sz w:val="20"/>
                      <w:szCs w:val="20"/>
                    </w:rPr>
                  </w:pPr>
                </w:p>
              </w:tc>
              <w:tc>
                <w:tcPr>
                  <w:tcW w:w="1260" w:type="dxa"/>
                </w:tcPr>
                <w:p w14:paraId="79EC731A" w14:textId="25651674" w:rsidR="00AA17B7" w:rsidRDefault="00AA17B7" w:rsidP="0018288B">
                  <w:pPr>
                    <w:spacing w:before="120" w:after="120"/>
                    <w:jc w:val="both"/>
                    <w:rPr>
                      <w:rFonts w:cs="Arial"/>
                      <w:sz w:val="20"/>
                      <w:szCs w:val="20"/>
                    </w:rPr>
                  </w:pPr>
                  <w:r>
                    <w:rPr>
                      <w:rFonts w:cs="Arial"/>
                      <w:sz w:val="20"/>
                      <w:szCs w:val="20"/>
                    </w:rPr>
                    <w:t>32</w:t>
                  </w:r>
                </w:p>
              </w:tc>
              <w:tc>
                <w:tcPr>
                  <w:tcW w:w="1080" w:type="dxa"/>
                </w:tcPr>
                <w:p w14:paraId="7F089DF5" w14:textId="321B30B1" w:rsidR="00AA17B7" w:rsidRDefault="00AA17B7" w:rsidP="0018288B">
                  <w:pPr>
                    <w:spacing w:before="120" w:after="120"/>
                    <w:jc w:val="both"/>
                    <w:rPr>
                      <w:rFonts w:cs="Arial"/>
                      <w:sz w:val="20"/>
                      <w:szCs w:val="20"/>
                    </w:rPr>
                  </w:pPr>
                  <w:r>
                    <w:rPr>
                      <w:rFonts w:cs="Arial"/>
                      <w:sz w:val="20"/>
                      <w:szCs w:val="20"/>
                    </w:rPr>
                    <w:t>(32)</w:t>
                  </w:r>
                </w:p>
              </w:tc>
            </w:tr>
            <w:tr w:rsidR="00AA17B7" w14:paraId="53F00C65" w14:textId="77777777" w:rsidTr="00AA17B7">
              <w:tc>
                <w:tcPr>
                  <w:tcW w:w="4350" w:type="dxa"/>
                </w:tcPr>
                <w:p w14:paraId="6EC05CFD" w14:textId="5827B3E4" w:rsidR="00AA17B7" w:rsidRDefault="00AA17B7" w:rsidP="0018288B">
                  <w:pPr>
                    <w:spacing w:before="120" w:after="120"/>
                    <w:jc w:val="both"/>
                    <w:rPr>
                      <w:rFonts w:cs="Arial"/>
                      <w:sz w:val="20"/>
                      <w:szCs w:val="20"/>
                    </w:rPr>
                  </w:pPr>
                  <w:r>
                    <w:rPr>
                      <w:rFonts w:cs="Arial"/>
                      <w:sz w:val="20"/>
                      <w:szCs w:val="20"/>
                    </w:rPr>
                    <w:t>Collation of Evidence</w:t>
                  </w:r>
                </w:p>
              </w:tc>
              <w:tc>
                <w:tcPr>
                  <w:tcW w:w="1440" w:type="dxa"/>
                </w:tcPr>
                <w:p w14:paraId="64BC366A" w14:textId="77777777" w:rsidR="00AA17B7" w:rsidRDefault="00AA17B7" w:rsidP="0018288B">
                  <w:pPr>
                    <w:spacing w:before="120" w:after="120"/>
                    <w:jc w:val="both"/>
                    <w:rPr>
                      <w:rFonts w:cs="Arial"/>
                      <w:sz w:val="20"/>
                      <w:szCs w:val="20"/>
                    </w:rPr>
                  </w:pPr>
                </w:p>
              </w:tc>
              <w:tc>
                <w:tcPr>
                  <w:tcW w:w="1260" w:type="dxa"/>
                </w:tcPr>
                <w:p w14:paraId="23807EEA" w14:textId="062D1782" w:rsidR="00AA17B7" w:rsidRDefault="00AA17B7" w:rsidP="0018288B">
                  <w:pPr>
                    <w:spacing w:before="120" w:after="120"/>
                    <w:jc w:val="both"/>
                    <w:rPr>
                      <w:rFonts w:cs="Arial"/>
                      <w:sz w:val="20"/>
                      <w:szCs w:val="20"/>
                    </w:rPr>
                  </w:pPr>
                  <w:r>
                    <w:rPr>
                      <w:rFonts w:cs="Arial"/>
                      <w:sz w:val="20"/>
                      <w:szCs w:val="20"/>
                    </w:rPr>
                    <w:t>8.2</w:t>
                  </w:r>
                </w:p>
              </w:tc>
              <w:tc>
                <w:tcPr>
                  <w:tcW w:w="1080" w:type="dxa"/>
                </w:tcPr>
                <w:p w14:paraId="13919AE5" w14:textId="0AEB9C5D" w:rsidR="00AA17B7" w:rsidRDefault="00AA17B7" w:rsidP="0018288B">
                  <w:pPr>
                    <w:spacing w:before="120" w:after="120"/>
                    <w:jc w:val="both"/>
                    <w:rPr>
                      <w:rFonts w:cs="Arial"/>
                      <w:sz w:val="20"/>
                      <w:szCs w:val="20"/>
                    </w:rPr>
                  </w:pPr>
                  <w:r>
                    <w:rPr>
                      <w:rFonts w:cs="Arial"/>
                      <w:sz w:val="20"/>
                      <w:szCs w:val="20"/>
                    </w:rPr>
                    <w:t>(8.2)</w:t>
                  </w:r>
                </w:p>
              </w:tc>
            </w:tr>
            <w:tr w:rsidR="00AA17B7" w14:paraId="036953F3" w14:textId="77777777" w:rsidTr="00AA17B7">
              <w:tc>
                <w:tcPr>
                  <w:tcW w:w="4350" w:type="dxa"/>
                </w:tcPr>
                <w:p w14:paraId="2A59B45A" w14:textId="7AC63431" w:rsidR="00AA17B7" w:rsidRPr="00AA17B7" w:rsidRDefault="00AA17B7" w:rsidP="0018288B">
                  <w:pPr>
                    <w:spacing w:before="120" w:after="120"/>
                    <w:jc w:val="both"/>
                    <w:rPr>
                      <w:rFonts w:cs="Arial"/>
                      <w:b/>
                      <w:sz w:val="20"/>
                      <w:szCs w:val="20"/>
                    </w:rPr>
                  </w:pPr>
                  <w:r>
                    <w:rPr>
                      <w:rFonts w:cs="Arial"/>
                      <w:b/>
                      <w:sz w:val="20"/>
                      <w:szCs w:val="20"/>
                    </w:rPr>
                    <w:t>Total</w:t>
                  </w:r>
                </w:p>
              </w:tc>
              <w:tc>
                <w:tcPr>
                  <w:tcW w:w="1440" w:type="dxa"/>
                </w:tcPr>
                <w:p w14:paraId="4E68A148" w14:textId="77777777" w:rsidR="00AA17B7" w:rsidRDefault="00AA17B7" w:rsidP="0018288B">
                  <w:pPr>
                    <w:spacing w:before="120" w:after="120"/>
                    <w:jc w:val="both"/>
                    <w:rPr>
                      <w:rFonts w:cs="Arial"/>
                      <w:sz w:val="20"/>
                      <w:szCs w:val="20"/>
                    </w:rPr>
                  </w:pPr>
                </w:p>
              </w:tc>
              <w:tc>
                <w:tcPr>
                  <w:tcW w:w="1260" w:type="dxa"/>
                </w:tcPr>
                <w:p w14:paraId="1F003707" w14:textId="20CD2E5E" w:rsidR="00AA17B7" w:rsidRDefault="00AA17B7" w:rsidP="0018288B">
                  <w:pPr>
                    <w:spacing w:before="120" w:after="120"/>
                    <w:jc w:val="both"/>
                    <w:rPr>
                      <w:rFonts w:cs="Arial"/>
                      <w:sz w:val="20"/>
                      <w:szCs w:val="20"/>
                    </w:rPr>
                  </w:pPr>
                  <w:r>
                    <w:rPr>
                      <w:rFonts w:cs="Arial"/>
                      <w:sz w:val="20"/>
                      <w:szCs w:val="20"/>
                    </w:rPr>
                    <w:t>113.2</w:t>
                  </w:r>
                </w:p>
              </w:tc>
              <w:tc>
                <w:tcPr>
                  <w:tcW w:w="1080" w:type="dxa"/>
                </w:tcPr>
                <w:p w14:paraId="664BC249" w14:textId="7A789BA5" w:rsidR="00AA17B7" w:rsidRDefault="00AA17B7" w:rsidP="0018288B">
                  <w:pPr>
                    <w:spacing w:before="120" w:after="120"/>
                    <w:jc w:val="both"/>
                    <w:rPr>
                      <w:rFonts w:cs="Arial"/>
                      <w:sz w:val="20"/>
                      <w:szCs w:val="20"/>
                    </w:rPr>
                  </w:pPr>
                  <w:r>
                    <w:rPr>
                      <w:rFonts w:cs="Arial"/>
                      <w:sz w:val="20"/>
                      <w:szCs w:val="20"/>
                    </w:rPr>
                    <w:t>(113.2)</w:t>
                  </w:r>
                </w:p>
              </w:tc>
            </w:tr>
          </w:tbl>
          <w:p w14:paraId="1497F87B" w14:textId="4AB02EB7" w:rsidR="00AA17B7" w:rsidRDefault="00AA17B7" w:rsidP="0018288B">
            <w:pPr>
              <w:spacing w:before="120" w:after="120"/>
              <w:jc w:val="both"/>
              <w:rPr>
                <w:rFonts w:cs="Arial"/>
                <w:sz w:val="20"/>
                <w:szCs w:val="20"/>
              </w:rPr>
            </w:pPr>
          </w:p>
        </w:tc>
      </w:tr>
      <w:tr w:rsidR="00AA17B7" w:rsidRPr="006A0EC0" w14:paraId="5EA05D4F" w14:textId="77777777" w:rsidTr="00AA17B7">
        <w:tc>
          <w:tcPr>
            <w:tcW w:w="851" w:type="dxa"/>
            <w:tcBorders>
              <w:top w:val="nil"/>
              <w:left w:val="single" w:sz="6" w:space="0" w:color="auto"/>
              <w:bottom w:val="nil"/>
            </w:tcBorders>
          </w:tcPr>
          <w:p w14:paraId="26EBEA4D" w14:textId="77777777" w:rsidR="00AA17B7" w:rsidRDefault="00AA17B7" w:rsidP="000641D0">
            <w:pPr>
              <w:spacing w:before="120" w:after="120"/>
              <w:jc w:val="center"/>
              <w:rPr>
                <w:sz w:val="20"/>
                <w:szCs w:val="20"/>
              </w:rPr>
            </w:pPr>
          </w:p>
        </w:tc>
        <w:tc>
          <w:tcPr>
            <w:tcW w:w="9922" w:type="dxa"/>
            <w:tcBorders>
              <w:top w:val="nil"/>
              <w:bottom w:val="nil"/>
            </w:tcBorders>
          </w:tcPr>
          <w:p w14:paraId="43884A8A" w14:textId="77777777" w:rsidR="00AA17B7" w:rsidRDefault="00AA17B7" w:rsidP="0018288B">
            <w:pPr>
              <w:spacing w:before="120" w:after="120"/>
              <w:jc w:val="both"/>
              <w:rPr>
                <w:rFonts w:cs="Arial"/>
                <w:sz w:val="20"/>
                <w:szCs w:val="20"/>
              </w:rPr>
            </w:pPr>
          </w:p>
        </w:tc>
      </w:tr>
      <w:tr w:rsidR="00AA17B7" w:rsidRPr="006A0EC0" w14:paraId="43780634" w14:textId="77777777" w:rsidTr="00AA17B7">
        <w:tc>
          <w:tcPr>
            <w:tcW w:w="851" w:type="dxa"/>
            <w:tcBorders>
              <w:top w:val="nil"/>
              <w:left w:val="single" w:sz="6" w:space="0" w:color="auto"/>
              <w:bottom w:val="nil"/>
            </w:tcBorders>
          </w:tcPr>
          <w:p w14:paraId="6941A4B0" w14:textId="0473E849" w:rsidR="00AA17B7" w:rsidRDefault="004E79AC" w:rsidP="000641D0">
            <w:pPr>
              <w:spacing w:before="120" w:after="120"/>
              <w:jc w:val="center"/>
              <w:rPr>
                <w:sz w:val="20"/>
                <w:szCs w:val="20"/>
              </w:rPr>
            </w:pPr>
            <w:r>
              <w:rPr>
                <w:sz w:val="20"/>
                <w:szCs w:val="20"/>
              </w:rPr>
              <w:t>5.7</w:t>
            </w:r>
          </w:p>
        </w:tc>
        <w:tc>
          <w:tcPr>
            <w:tcW w:w="9922" w:type="dxa"/>
            <w:tcBorders>
              <w:top w:val="nil"/>
              <w:bottom w:val="nil"/>
            </w:tcBorders>
          </w:tcPr>
          <w:p w14:paraId="754B3AC8" w14:textId="77777777" w:rsidR="00AA17B7" w:rsidRDefault="00AA17B7" w:rsidP="0018288B">
            <w:pPr>
              <w:spacing w:before="120" w:after="120"/>
              <w:jc w:val="both"/>
              <w:rPr>
                <w:rFonts w:cs="Arial"/>
                <w:sz w:val="20"/>
                <w:szCs w:val="20"/>
              </w:rPr>
            </w:pPr>
            <w:r>
              <w:rPr>
                <w:rFonts w:cs="Arial"/>
                <w:sz w:val="20"/>
                <w:szCs w:val="20"/>
              </w:rPr>
              <w:t>The extra da</w:t>
            </w:r>
            <w:r w:rsidR="00692F06">
              <w:rPr>
                <w:rFonts w:cs="Arial"/>
                <w:sz w:val="20"/>
                <w:szCs w:val="20"/>
              </w:rPr>
              <w:t>ys were resourced by the following:-</w:t>
            </w:r>
          </w:p>
          <w:p w14:paraId="0215558A" w14:textId="77777777" w:rsidR="00692F06" w:rsidRDefault="00692F06" w:rsidP="00692F06">
            <w:pPr>
              <w:pStyle w:val="ListParagraph"/>
              <w:numPr>
                <w:ilvl w:val="0"/>
                <w:numId w:val="23"/>
              </w:numPr>
              <w:spacing w:before="120" w:after="120"/>
              <w:ind w:left="395"/>
              <w:jc w:val="both"/>
              <w:rPr>
                <w:rFonts w:cs="Arial"/>
                <w:sz w:val="20"/>
                <w:szCs w:val="20"/>
              </w:rPr>
            </w:pPr>
            <w:r>
              <w:rPr>
                <w:rFonts w:cs="Arial"/>
                <w:sz w:val="20"/>
                <w:szCs w:val="20"/>
              </w:rPr>
              <w:t>Interim Head of Shared Assurance –  reduced time on Management of Service / reduced time on Chorley BC service provision;</w:t>
            </w:r>
          </w:p>
          <w:p w14:paraId="38142D62" w14:textId="77777777" w:rsidR="00692F06" w:rsidRDefault="00692F06" w:rsidP="00692F06">
            <w:pPr>
              <w:pStyle w:val="ListParagraph"/>
              <w:numPr>
                <w:ilvl w:val="0"/>
                <w:numId w:val="23"/>
              </w:numPr>
              <w:spacing w:before="120" w:after="120"/>
              <w:ind w:left="395"/>
              <w:jc w:val="both"/>
              <w:rPr>
                <w:rFonts w:cs="Arial"/>
                <w:sz w:val="20"/>
                <w:szCs w:val="20"/>
              </w:rPr>
            </w:pPr>
            <w:r>
              <w:rPr>
                <w:rFonts w:cs="Arial"/>
                <w:sz w:val="20"/>
                <w:szCs w:val="20"/>
              </w:rPr>
              <w:t>Agency provision (as outlined below) focused on  key governance work, i.e., GDPR, IRG / AGS and H&amp;W Campus;</w:t>
            </w:r>
          </w:p>
          <w:p w14:paraId="1657DAF7" w14:textId="619AC921" w:rsidR="00692F06" w:rsidRPr="00692F06" w:rsidRDefault="00692F06" w:rsidP="004E79AC">
            <w:pPr>
              <w:pStyle w:val="ListParagraph"/>
              <w:numPr>
                <w:ilvl w:val="0"/>
                <w:numId w:val="23"/>
              </w:numPr>
              <w:spacing w:before="120" w:after="120"/>
              <w:ind w:left="395"/>
              <w:jc w:val="both"/>
              <w:rPr>
                <w:rFonts w:cs="Arial"/>
                <w:sz w:val="20"/>
                <w:szCs w:val="20"/>
              </w:rPr>
            </w:pPr>
            <w:r>
              <w:rPr>
                <w:rFonts w:cs="Arial"/>
                <w:sz w:val="20"/>
                <w:szCs w:val="20"/>
              </w:rPr>
              <w:t xml:space="preserve">Increased capacity due to appointment of Agency staff, as outlined </w:t>
            </w:r>
            <w:r w:rsidR="004E79AC">
              <w:rPr>
                <w:rFonts w:cs="Arial"/>
                <w:sz w:val="20"/>
                <w:szCs w:val="20"/>
              </w:rPr>
              <w:t>which equated to 15 months increased capacity.</w:t>
            </w:r>
            <w:r>
              <w:rPr>
                <w:rFonts w:cs="Arial"/>
                <w:sz w:val="20"/>
                <w:szCs w:val="20"/>
              </w:rPr>
              <w:t xml:space="preserve"> </w:t>
            </w:r>
          </w:p>
        </w:tc>
      </w:tr>
      <w:tr w:rsidR="005A4DBE" w:rsidRPr="006A0EC0" w14:paraId="4F6D48DD" w14:textId="77777777" w:rsidTr="00AA17B7">
        <w:tc>
          <w:tcPr>
            <w:tcW w:w="851" w:type="dxa"/>
            <w:tcBorders>
              <w:top w:val="nil"/>
              <w:left w:val="single" w:sz="6" w:space="0" w:color="auto"/>
              <w:bottom w:val="nil"/>
            </w:tcBorders>
          </w:tcPr>
          <w:p w14:paraId="1676CADC" w14:textId="1BD1C381" w:rsidR="005A4DBE" w:rsidRPr="00F31D31" w:rsidRDefault="004D5368" w:rsidP="000641D0">
            <w:pPr>
              <w:spacing w:before="120" w:after="120"/>
              <w:jc w:val="center"/>
              <w:rPr>
                <w:sz w:val="20"/>
                <w:szCs w:val="20"/>
              </w:rPr>
            </w:pPr>
            <w:r>
              <w:rPr>
                <w:sz w:val="20"/>
                <w:szCs w:val="20"/>
              </w:rPr>
              <w:t>5</w:t>
            </w:r>
            <w:r w:rsidR="00236DD5">
              <w:rPr>
                <w:sz w:val="20"/>
                <w:szCs w:val="20"/>
              </w:rPr>
              <w:t>.</w:t>
            </w:r>
            <w:r w:rsidR="004E79AC">
              <w:rPr>
                <w:sz w:val="20"/>
                <w:szCs w:val="20"/>
              </w:rPr>
              <w:t>8</w:t>
            </w:r>
          </w:p>
        </w:tc>
        <w:tc>
          <w:tcPr>
            <w:tcW w:w="9922" w:type="dxa"/>
            <w:tcBorders>
              <w:top w:val="nil"/>
              <w:bottom w:val="nil"/>
            </w:tcBorders>
          </w:tcPr>
          <w:p w14:paraId="665113B1" w14:textId="63B6968E" w:rsidR="005A4DBE" w:rsidRPr="009E5421" w:rsidRDefault="00E4622D" w:rsidP="0018288B">
            <w:pPr>
              <w:spacing w:before="120" w:after="120"/>
              <w:jc w:val="both"/>
              <w:rPr>
                <w:rFonts w:cs="Arial"/>
                <w:sz w:val="20"/>
                <w:szCs w:val="20"/>
              </w:rPr>
            </w:pPr>
            <w:r>
              <w:rPr>
                <w:rFonts w:cs="Arial"/>
                <w:sz w:val="20"/>
                <w:szCs w:val="20"/>
              </w:rPr>
              <w:t xml:space="preserve">As previously reported to Governance Committee, the Interim Head of Shared Assurance undertook a number of pieces of work relating to governance issues and the failings of senior officers to comply with Council Policies and Procedures, a summary of the outcomes from those reports is included in this report.  As this was taking a significant amount of time a number of interim arrangements were put in place which have previously been reported to Governance Committee, </w:t>
            </w:r>
            <w:r w:rsidR="0018288B">
              <w:rPr>
                <w:rFonts w:cs="Arial"/>
                <w:sz w:val="20"/>
                <w:szCs w:val="20"/>
              </w:rPr>
              <w:t xml:space="preserve">there is a </w:t>
            </w:r>
            <w:r>
              <w:rPr>
                <w:rFonts w:cs="Arial"/>
                <w:sz w:val="20"/>
                <w:szCs w:val="20"/>
              </w:rPr>
              <w:t xml:space="preserve">brief summary </w:t>
            </w:r>
            <w:r w:rsidR="0018288B">
              <w:rPr>
                <w:rFonts w:cs="Arial"/>
                <w:sz w:val="20"/>
                <w:szCs w:val="20"/>
              </w:rPr>
              <w:t xml:space="preserve">included </w:t>
            </w:r>
            <w:r>
              <w:rPr>
                <w:rFonts w:cs="Arial"/>
                <w:sz w:val="20"/>
                <w:szCs w:val="20"/>
              </w:rPr>
              <w:t>her</w:t>
            </w:r>
            <w:r w:rsidR="0018288B">
              <w:rPr>
                <w:rFonts w:cs="Arial"/>
                <w:sz w:val="20"/>
                <w:szCs w:val="20"/>
              </w:rPr>
              <w:t>e</w:t>
            </w:r>
            <w:r>
              <w:rPr>
                <w:rFonts w:cs="Arial"/>
                <w:sz w:val="20"/>
                <w:szCs w:val="20"/>
              </w:rPr>
              <w:t xml:space="preserve"> to aid in the understanding of the apparent overachievement of the plan.</w:t>
            </w:r>
          </w:p>
        </w:tc>
      </w:tr>
      <w:tr w:rsidR="009E5421" w:rsidRPr="006A0EC0" w14:paraId="5581887D" w14:textId="77777777" w:rsidTr="00AA17B7">
        <w:tc>
          <w:tcPr>
            <w:tcW w:w="851" w:type="dxa"/>
            <w:tcBorders>
              <w:top w:val="nil"/>
              <w:left w:val="single" w:sz="6" w:space="0" w:color="auto"/>
              <w:bottom w:val="nil"/>
            </w:tcBorders>
          </w:tcPr>
          <w:p w14:paraId="3F709B12" w14:textId="4B353662" w:rsidR="009E5421" w:rsidRPr="00F31D31" w:rsidRDefault="004D5368" w:rsidP="000641D0">
            <w:pPr>
              <w:spacing w:before="120" w:after="120"/>
              <w:jc w:val="center"/>
              <w:rPr>
                <w:sz w:val="20"/>
                <w:szCs w:val="20"/>
              </w:rPr>
            </w:pPr>
            <w:r>
              <w:rPr>
                <w:sz w:val="20"/>
                <w:szCs w:val="20"/>
              </w:rPr>
              <w:t>5</w:t>
            </w:r>
            <w:r w:rsidR="00236DD5">
              <w:rPr>
                <w:sz w:val="20"/>
                <w:szCs w:val="20"/>
              </w:rPr>
              <w:t>.4</w:t>
            </w:r>
          </w:p>
        </w:tc>
        <w:tc>
          <w:tcPr>
            <w:tcW w:w="9922" w:type="dxa"/>
            <w:tcBorders>
              <w:top w:val="nil"/>
              <w:bottom w:val="nil"/>
            </w:tcBorders>
          </w:tcPr>
          <w:p w14:paraId="1AC10AA1" w14:textId="77777777" w:rsidR="00574CEF" w:rsidRDefault="00574CEF" w:rsidP="00574CEF">
            <w:pPr>
              <w:spacing w:before="120" w:after="120"/>
              <w:rPr>
                <w:rFonts w:cs="Arial"/>
                <w:sz w:val="20"/>
                <w:szCs w:val="20"/>
              </w:rPr>
            </w:pPr>
            <w:r>
              <w:rPr>
                <w:rFonts w:cs="Arial"/>
                <w:sz w:val="20"/>
                <w:szCs w:val="20"/>
              </w:rPr>
              <w:t>In May 2019, a number of issues arose relating to the 3 most senior officers of the Council, the following arrangements were put in place:-</w:t>
            </w:r>
            <w:r>
              <w:rPr>
                <w:rFonts w:cs="Arial"/>
                <w:sz w:val="20"/>
                <w:szCs w:val="20"/>
              </w:rPr>
              <w:br/>
            </w:r>
          </w:p>
          <w:p w14:paraId="01E08E58" w14:textId="77777777" w:rsidR="00574CEF" w:rsidRDefault="00574CEF" w:rsidP="00574CEF">
            <w:pPr>
              <w:pStyle w:val="ListParagraph"/>
              <w:numPr>
                <w:ilvl w:val="0"/>
                <w:numId w:val="13"/>
              </w:numPr>
              <w:spacing w:before="120" w:after="120"/>
              <w:ind w:left="395"/>
              <w:rPr>
                <w:rFonts w:cs="Arial"/>
                <w:sz w:val="20"/>
                <w:szCs w:val="20"/>
              </w:rPr>
            </w:pPr>
            <w:r w:rsidRPr="00574CEF">
              <w:rPr>
                <w:rFonts w:cs="Arial"/>
                <w:sz w:val="20"/>
                <w:szCs w:val="20"/>
              </w:rPr>
              <w:t xml:space="preserve">Interim Head of Shared Assurance </w:t>
            </w:r>
            <w:r>
              <w:rPr>
                <w:rFonts w:cs="Arial"/>
                <w:sz w:val="20"/>
                <w:szCs w:val="20"/>
              </w:rPr>
              <w:t xml:space="preserve">- </w:t>
            </w:r>
            <w:r w:rsidRPr="00574CEF">
              <w:rPr>
                <w:rFonts w:cs="Arial"/>
                <w:sz w:val="20"/>
                <w:szCs w:val="20"/>
              </w:rPr>
              <w:t>May to December 20</w:t>
            </w:r>
            <w:r>
              <w:rPr>
                <w:rFonts w:cs="Arial"/>
                <w:sz w:val="20"/>
                <w:szCs w:val="20"/>
              </w:rPr>
              <w:t>19 investigation / governance work</w:t>
            </w:r>
          </w:p>
          <w:p w14:paraId="0E744450" w14:textId="77777777" w:rsidR="00574CEF" w:rsidRDefault="00574CEF" w:rsidP="00574CEF">
            <w:pPr>
              <w:pStyle w:val="ListParagraph"/>
              <w:numPr>
                <w:ilvl w:val="0"/>
                <w:numId w:val="13"/>
              </w:numPr>
              <w:spacing w:before="120" w:after="120"/>
              <w:ind w:left="395"/>
              <w:rPr>
                <w:rFonts w:cs="Arial"/>
                <w:sz w:val="20"/>
                <w:szCs w:val="20"/>
              </w:rPr>
            </w:pPr>
            <w:r>
              <w:rPr>
                <w:rFonts w:cs="Arial"/>
                <w:sz w:val="20"/>
                <w:szCs w:val="20"/>
              </w:rPr>
              <w:t>Auditor (MB)</w:t>
            </w:r>
            <w:r w:rsidRPr="00574CEF">
              <w:rPr>
                <w:rFonts w:cs="Arial"/>
                <w:sz w:val="20"/>
                <w:szCs w:val="20"/>
              </w:rPr>
              <w:t xml:space="preserve"> appointed as Principal Auditor </w:t>
            </w:r>
            <w:r>
              <w:rPr>
                <w:rFonts w:cs="Arial"/>
                <w:sz w:val="20"/>
                <w:szCs w:val="20"/>
              </w:rPr>
              <w:t xml:space="preserve">on a temporary basis 11/06/19 – 31/03/20 (undertook </w:t>
            </w:r>
            <w:r w:rsidRPr="00574CEF">
              <w:rPr>
                <w:rFonts w:cs="Arial"/>
                <w:sz w:val="20"/>
                <w:szCs w:val="20"/>
              </w:rPr>
              <w:t xml:space="preserve"> management of the Internal Audit service during that time</w:t>
            </w:r>
            <w:r>
              <w:rPr>
                <w:rFonts w:cs="Arial"/>
                <w:sz w:val="20"/>
                <w:szCs w:val="20"/>
              </w:rPr>
              <w:t>)</w:t>
            </w:r>
          </w:p>
          <w:p w14:paraId="6210985D" w14:textId="48C33CB7" w:rsidR="009E5421" w:rsidRDefault="00574CEF" w:rsidP="00574CEF">
            <w:pPr>
              <w:pStyle w:val="ListParagraph"/>
              <w:numPr>
                <w:ilvl w:val="0"/>
                <w:numId w:val="13"/>
              </w:numPr>
              <w:spacing w:before="120" w:after="120"/>
              <w:ind w:left="395"/>
              <w:rPr>
                <w:rFonts w:cs="Arial"/>
                <w:sz w:val="20"/>
                <w:szCs w:val="20"/>
              </w:rPr>
            </w:pPr>
            <w:r>
              <w:rPr>
                <w:rFonts w:cs="Arial"/>
                <w:sz w:val="20"/>
                <w:szCs w:val="20"/>
              </w:rPr>
              <w:t>T</w:t>
            </w:r>
            <w:r w:rsidRPr="00574CEF">
              <w:rPr>
                <w:rFonts w:cs="Arial"/>
                <w:sz w:val="20"/>
                <w:szCs w:val="20"/>
              </w:rPr>
              <w:t xml:space="preserve">emporary </w:t>
            </w:r>
            <w:r>
              <w:rPr>
                <w:rFonts w:cs="Arial"/>
                <w:sz w:val="20"/>
                <w:szCs w:val="20"/>
              </w:rPr>
              <w:t>A</w:t>
            </w:r>
            <w:r w:rsidRPr="00574CEF">
              <w:rPr>
                <w:rFonts w:cs="Arial"/>
                <w:sz w:val="20"/>
                <w:szCs w:val="20"/>
              </w:rPr>
              <w:t xml:space="preserve">uditor </w:t>
            </w:r>
            <w:r>
              <w:rPr>
                <w:rFonts w:cs="Arial"/>
                <w:sz w:val="20"/>
                <w:szCs w:val="20"/>
              </w:rPr>
              <w:t xml:space="preserve">(LH) </w:t>
            </w:r>
            <w:r w:rsidRPr="00574CEF">
              <w:rPr>
                <w:rFonts w:cs="Arial"/>
                <w:sz w:val="20"/>
                <w:szCs w:val="20"/>
              </w:rPr>
              <w:t xml:space="preserve">appointed (agency) 7/07/19 – 03/04/20; </w:t>
            </w:r>
          </w:p>
          <w:p w14:paraId="5DF9DC33" w14:textId="3DFDBDBA" w:rsidR="00574CEF" w:rsidRPr="00574CEF" w:rsidRDefault="00574CEF" w:rsidP="00574CEF">
            <w:pPr>
              <w:pStyle w:val="ListParagraph"/>
              <w:numPr>
                <w:ilvl w:val="0"/>
                <w:numId w:val="13"/>
              </w:numPr>
              <w:spacing w:before="120" w:after="120"/>
              <w:ind w:left="395"/>
              <w:rPr>
                <w:rFonts w:cs="Arial"/>
                <w:sz w:val="20"/>
                <w:szCs w:val="20"/>
              </w:rPr>
            </w:pPr>
            <w:r>
              <w:rPr>
                <w:rFonts w:cs="Arial"/>
                <w:sz w:val="20"/>
                <w:szCs w:val="20"/>
              </w:rPr>
              <w:t xml:space="preserve">Temporary Auditor (BW) appointed (agency) 21/10/19 </w:t>
            </w:r>
            <w:r w:rsidR="00DF6C5A">
              <w:rPr>
                <w:rFonts w:cs="Arial"/>
                <w:sz w:val="20"/>
                <w:szCs w:val="20"/>
              </w:rPr>
              <w:t>–</w:t>
            </w:r>
            <w:r>
              <w:rPr>
                <w:rFonts w:cs="Arial"/>
                <w:sz w:val="20"/>
                <w:szCs w:val="20"/>
              </w:rPr>
              <w:t xml:space="preserve"> </w:t>
            </w:r>
            <w:r w:rsidR="00DF6C5A">
              <w:rPr>
                <w:rFonts w:cs="Arial"/>
                <w:sz w:val="20"/>
                <w:szCs w:val="20"/>
              </w:rPr>
              <w:t>24/04/20.</w:t>
            </w:r>
          </w:p>
        </w:tc>
      </w:tr>
      <w:tr w:rsidR="008F783F" w:rsidRPr="006A0EC0" w14:paraId="66864668" w14:textId="77777777" w:rsidTr="00AA17B7">
        <w:tc>
          <w:tcPr>
            <w:tcW w:w="851" w:type="dxa"/>
            <w:tcBorders>
              <w:top w:val="nil"/>
              <w:left w:val="single" w:sz="6" w:space="0" w:color="auto"/>
              <w:bottom w:val="nil"/>
            </w:tcBorders>
          </w:tcPr>
          <w:p w14:paraId="5A2005F1" w14:textId="2D476720" w:rsidR="008F783F" w:rsidRPr="00F31D31" w:rsidRDefault="004D5368" w:rsidP="000641D0">
            <w:pPr>
              <w:spacing w:before="120" w:after="120"/>
              <w:jc w:val="center"/>
              <w:rPr>
                <w:sz w:val="20"/>
                <w:szCs w:val="20"/>
              </w:rPr>
            </w:pPr>
            <w:r>
              <w:rPr>
                <w:sz w:val="20"/>
                <w:szCs w:val="20"/>
              </w:rPr>
              <w:t>5</w:t>
            </w:r>
            <w:r w:rsidR="00236DD5">
              <w:rPr>
                <w:sz w:val="20"/>
                <w:szCs w:val="20"/>
              </w:rPr>
              <w:t>.5</w:t>
            </w:r>
          </w:p>
        </w:tc>
        <w:tc>
          <w:tcPr>
            <w:tcW w:w="9922" w:type="dxa"/>
            <w:tcBorders>
              <w:top w:val="nil"/>
              <w:bottom w:val="nil"/>
            </w:tcBorders>
          </w:tcPr>
          <w:p w14:paraId="1990E3F7" w14:textId="11E91D54" w:rsidR="008F783F" w:rsidRPr="002C089B" w:rsidRDefault="00DF6C5A" w:rsidP="0072175C">
            <w:pPr>
              <w:spacing w:before="120" w:after="120"/>
              <w:jc w:val="both"/>
              <w:rPr>
                <w:rFonts w:cs="Arial"/>
                <w:sz w:val="20"/>
                <w:szCs w:val="20"/>
              </w:rPr>
            </w:pPr>
            <w:r>
              <w:rPr>
                <w:rFonts w:cs="Arial"/>
                <w:sz w:val="20"/>
                <w:szCs w:val="20"/>
              </w:rPr>
              <w:t>This resulted in additional days which enabled the majority of planned work to be completed and additional work to be undertaken, this is reflected in the over delivery of the audit plan for 2019/20.</w:t>
            </w:r>
          </w:p>
        </w:tc>
      </w:tr>
      <w:tr w:rsidR="00A30F81" w:rsidRPr="006A0EC0" w14:paraId="762E926B" w14:textId="77777777" w:rsidTr="00AA17B7">
        <w:tc>
          <w:tcPr>
            <w:tcW w:w="851" w:type="dxa"/>
            <w:tcBorders>
              <w:top w:val="nil"/>
              <w:left w:val="single" w:sz="6" w:space="0" w:color="auto"/>
              <w:bottom w:val="single" w:sz="6" w:space="0" w:color="auto"/>
            </w:tcBorders>
          </w:tcPr>
          <w:p w14:paraId="71D3A111" w14:textId="77777777" w:rsidR="00A30F81" w:rsidRDefault="00A30F81" w:rsidP="000641D0">
            <w:pPr>
              <w:spacing w:before="120" w:after="120"/>
              <w:jc w:val="center"/>
              <w:rPr>
                <w:sz w:val="20"/>
                <w:szCs w:val="20"/>
              </w:rPr>
            </w:pPr>
          </w:p>
        </w:tc>
        <w:tc>
          <w:tcPr>
            <w:tcW w:w="9922" w:type="dxa"/>
            <w:tcBorders>
              <w:top w:val="nil"/>
              <w:bottom w:val="single" w:sz="6" w:space="0" w:color="auto"/>
            </w:tcBorders>
          </w:tcPr>
          <w:p w14:paraId="5ED6EC28" w14:textId="77777777" w:rsidR="00A30F81" w:rsidRDefault="00A30F81" w:rsidP="0072175C">
            <w:pPr>
              <w:spacing w:before="120" w:after="120"/>
              <w:jc w:val="both"/>
              <w:rPr>
                <w:rFonts w:cs="Arial"/>
                <w:sz w:val="20"/>
                <w:szCs w:val="20"/>
              </w:rPr>
            </w:pPr>
          </w:p>
        </w:tc>
      </w:tr>
    </w:tbl>
    <w:p w14:paraId="7A1CC8BC" w14:textId="77777777" w:rsidR="00A30F81" w:rsidRDefault="00A30F81">
      <w:r>
        <w:br w:type="page"/>
      </w:r>
    </w:p>
    <w:tbl>
      <w:tblPr>
        <w:tblW w:w="10773" w:type="dxa"/>
        <w:tblInd w:w="-45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851"/>
        <w:gridCol w:w="9922"/>
      </w:tblGrid>
      <w:tr w:rsidR="00DC256A" w:rsidRPr="00D30D54" w14:paraId="44BF84E2" w14:textId="77777777" w:rsidTr="00DC256A">
        <w:tc>
          <w:tcPr>
            <w:tcW w:w="851" w:type="dxa"/>
            <w:tcBorders>
              <w:bottom w:val="single" w:sz="6" w:space="0" w:color="auto"/>
            </w:tcBorders>
            <w:shd w:val="clear" w:color="auto" w:fill="B8CCE4" w:themeFill="accent1" w:themeFillTint="66"/>
          </w:tcPr>
          <w:p w14:paraId="4A0EEC08" w14:textId="15A1C55A" w:rsidR="00DC256A" w:rsidRDefault="00DC256A" w:rsidP="00857093">
            <w:pPr>
              <w:spacing w:before="120" w:after="120"/>
              <w:jc w:val="center"/>
              <w:rPr>
                <w:b/>
              </w:rPr>
            </w:pPr>
          </w:p>
        </w:tc>
        <w:tc>
          <w:tcPr>
            <w:tcW w:w="9922" w:type="dxa"/>
            <w:tcBorders>
              <w:bottom w:val="single" w:sz="6" w:space="0" w:color="auto"/>
            </w:tcBorders>
            <w:shd w:val="clear" w:color="auto" w:fill="B8CCE4" w:themeFill="accent1" w:themeFillTint="66"/>
          </w:tcPr>
          <w:p w14:paraId="3981D46F" w14:textId="1106F284" w:rsidR="00DC256A" w:rsidRDefault="00DC256A" w:rsidP="00857093">
            <w:pPr>
              <w:spacing w:before="120" w:after="120"/>
              <w:rPr>
                <w:b/>
              </w:rPr>
            </w:pPr>
            <w:r>
              <w:rPr>
                <w:b/>
              </w:rPr>
              <w:t>Significant Issues Arising</w:t>
            </w:r>
          </w:p>
        </w:tc>
      </w:tr>
      <w:tr w:rsidR="00DC256A" w:rsidRPr="00DC256A" w14:paraId="3FED634A" w14:textId="77777777" w:rsidTr="00DC256A">
        <w:tc>
          <w:tcPr>
            <w:tcW w:w="851" w:type="dxa"/>
            <w:tcBorders>
              <w:top w:val="single" w:sz="6" w:space="0" w:color="auto"/>
              <w:bottom w:val="nil"/>
            </w:tcBorders>
            <w:shd w:val="clear" w:color="auto" w:fill="auto"/>
          </w:tcPr>
          <w:p w14:paraId="34714933" w14:textId="29C1F231" w:rsidR="00DC256A" w:rsidRPr="00DC256A" w:rsidRDefault="004D5368" w:rsidP="00857093">
            <w:pPr>
              <w:spacing w:before="120" w:after="120"/>
              <w:jc w:val="center"/>
              <w:rPr>
                <w:sz w:val="20"/>
                <w:szCs w:val="20"/>
              </w:rPr>
            </w:pPr>
            <w:r>
              <w:rPr>
                <w:sz w:val="20"/>
                <w:szCs w:val="20"/>
              </w:rPr>
              <w:t>5</w:t>
            </w:r>
            <w:r w:rsidR="00DC256A" w:rsidRPr="00DC256A">
              <w:rPr>
                <w:sz w:val="20"/>
                <w:szCs w:val="20"/>
              </w:rPr>
              <w:t>.6</w:t>
            </w:r>
          </w:p>
        </w:tc>
        <w:tc>
          <w:tcPr>
            <w:tcW w:w="9922" w:type="dxa"/>
            <w:tcBorders>
              <w:top w:val="single" w:sz="6" w:space="0" w:color="auto"/>
              <w:bottom w:val="nil"/>
            </w:tcBorders>
            <w:shd w:val="clear" w:color="auto" w:fill="auto"/>
          </w:tcPr>
          <w:p w14:paraId="7911EE3C" w14:textId="77BE78F6" w:rsidR="00DC256A" w:rsidRPr="00DC256A" w:rsidRDefault="00DC256A" w:rsidP="004E79AC">
            <w:pPr>
              <w:spacing w:before="120" w:after="120"/>
              <w:rPr>
                <w:sz w:val="20"/>
                <w:szCs w:val="20"/>
              </w:rPr>
            </w:pPr>
            <w:r w:rsidRPr="00DC256A">
              <w:rPr>
                <w:sz w:val="20"/>
                <w:szCs w:val="20"/>
              </w:rPr>
              <w:t xml:space="preserve">A number of significant issues </w:t>
            </w:r>
            <w:r>
              <w:rPr>
                <w:sz w:val="20"/>
                <w:szCs w:val="20"/>
              </w:rPr>
              <w:t xml:space="preserve">/ fundamental failings have been identified from the reviews undertaken during 2019/20, Appendix </w:t>
            </w:r>
            <w:r w:rsidR="004E79AC">
              <w:rPr>
                <w:sz w:val="20"/>
                <w:szCs w:val="20"/>
              </w:rPr>
              <w:t>3</w:t>
            </w:r>
            <w:r>
              <w:rPr>
                <w:sz w:val="20"/>
                <w:szCs w:val="20"/>
              </w:rPr>
              <w:t xml:space="preserve"> provides the detail in respect of the findings and the resulting governance issues, however, the failings are generally consistent across each of the areas reviewed.  The information below provides a summary of those issues arising, these issues will feed into the review of Governance contained in the Annual Governance Statement. </w:t>
            </w:r>
          </w:p>
        </w:tc>
      </w:tr>
      <w:tr w:rsidR="00DC256A" w:rsidRPr="00DC256A" w14:paraId="30B98E49" w14:textId="77777777" w:rsidTr="00A30F81">
        <w:tc>
          <w:tcPr>
            <w:tcW w:w="851" w:type="dxa"/>
            <w:tcBorders>
              <w:top w:val="nil"/>
              <w:bottom w:val="nil"/>
            </w:tcBorders>
            <w:shd w:val="clear" w:color="auto" w:fill="auto"/>
          </w:tcPr>
          <w:p w14:paraId="63D0C01B" w14:textId="75B56B23" w:rsidR="00DC256A" w:rsidRPr="00DC256A" w:rsidRDefault="004D5368" w:rsidP="00857093">
            <w:pPr>
              <w:spacing w:before="120" w:after="120"/>
              <w:jc w:val="center"/>
              <w:rPr>
                <w:sz w:val="20"/>
                <w:szCs w:val="20"/>
              </w:rPr>
            </w:pPr>
            <w:r>
              <w:rPr>
                <w:sz w:val="20"/>
                <w:szCs w:val="20"/>
              </w:rPr>
              <w:t>5</w:t>
            </w:r>
            <w:r w:rsidR="00123082">
              <w:rPr>
                <w:sz w:val="20"/>
                <w:szCs w:val="20"/>
              </w:rPr>
              <w:t>.7</w:t>
            </w:r>
          </w:p>
        </w:tc>
        <w:tc>
          <w:tcPr>
            <w:tcW w:w="9922" w:type="dxa"/>
            <w:tcBorders>
              <w:top w:val="nil"/>
              <w:bottom w:val="nil"/>
            </w:tcBorders>
            <w:shd w:val="clear" w:color="auto" w:fill="auto"/>
          </w:tcPr>
          <w:p w14:paraId="12001380" w14:textId="77777777" w:rsidR="00DC256A" w:rsidRDefault="00DC256A" w:rsidP="00857093">
            <w:pPr>
              <w:spacing w:before="120" w:after="120"/>
              <w:rPr>
                <w:sz w:val="20"/>
                <w:szCs w:val="20"/>
              </w:rPr>
            </w:pPr>
            <w:r>
              <w:rPr>
                <w:b/>
                <w:sz w:val="20"/>
                <w:szCs w:val="20"/>
              </w:rPr>
              <w:t>Leadership / Management Controls</w:t>
            </w:r>
          </w:p>
          <w:p w14:paraId="5A66B1A3" w14:textId="71B32C70" w:rsidR="00DC256A" w:rsidRPr="00DC256A" w:rsidRDefault="00DC256A" w:rsidP="004E79AC">
            <w:pPr>
              <w:spacing w:before="120" w:after="120"/>
              <w:rPr>
                <w:sz w:val="20"/>
                <w:szCs w:val="20"/>
              </w:rPr>
            </w:pPr>
            <w:r>
              <w:rPr>
                <w:sz w:val="20"/>
                <w:szCs w:val="20"/>
              </w:rPr>
              <w:t>A number of reviews have identified the lack of management cont</w:t>
            </w:r>
            <w:r w:rsidR="004E79AC">
              <w:rPr>
                <w:sz w:val="20"/>
                <w:szCs w:val="20"/>
              </w:rPr>
              <w:t>rols relating to Directors</w:t>
            </w:r>
            <w:r>
              <w:rPr>
                <w:sz w:val="20"/>
                <w:szCs w:val="20"/>
              </w:rPr>
              <w:t xml:space="preserve"> ensuring staff have appropriate training for them to carry out the roles they are in; failure of Senior Managers to </w:t>
            </w:r>
            <w:r w:rsidR="005D727F">
              <w:rPr>
                <w:sz w:val="20"/>
                <w:szCs w:val="20"/>
              </w:rPr>
              <w:t>ensure appropriate policies, rules and regulations are complied with and adhered to; failure of Senior Managers to give priority to and fail to take responsibility for current and new policies and processes which form part of the Governance framework.  Failure of Senior Managers to ensure Policies within their services that they are responsible for are maintained, reviewed, updated and approved as required, in some areas there were no agreed policies relating to work that has been carried out by the Council for a number of years.  Weakness in management controls as little / no performance management is undertaken / evidenced.  Failure to ensure that Data in respect of performance management is recorded, retained, accurately calculated and reported and definitions are robust to ensure the right information is being reported</w:t>
            </w:r>
          </w:p>
        </w:tc>
      </w:tr>
      <w:tr w:rsidR="00DC256A" w:rsidRPr="00DC256A" w14:paraId="713402D9" w14:textId="77777777" w:rsidTr="00A30F81">
        <w:tc>
          <w:tcPr>
            <w:tcW w:w="851" w:type="dxa"/>
            <w:tcBorders>
              <w:top w:val="nil"/>
              <w:bottom w:val="nil"/>
            </w:tcBorders>
            <w:shd w:val="clear" w:color="auto" w:fill="auto"/>
          </w:tcPr>
          <w:p w14:paraId="6DA9C482" w14:textId="1DDF41C0" w:rsidR="00DC256A" w:rsidRPr="00DC256A" w:rsidRDefault="00A30F81" w:rsidP="00857093">
            <w:pPr>
              <w:spacing w:before="120" w:after="120"/>
              <w:jc w:val="center"/>
              <w:rPr>
                <w:sz w:val="20"/>
                <w:szCs w:val="20"/>
              </w:rPr>
            </w:pPr>
            <w:r>
              <w:rPr>
                <w:sz w:val="20"/>
                <w:szCs w:val="20"/>
              </w:rPr>
              <w:t>5</w:t>
            </w:r>
            <w:r w:rsidR="00123082">
              <w:rPr>
                <w:sz w:val="20"/>
                <w:szCs w:val="20"/>
              </w:rPr>
              <w:t>.8</w:t>
            </w:r>
          </w:p>
        </w:tc>
        <w:tc>
          <w:tcPr>
            <w:tcW w:w="9922" w:type="dxa"/>
            <w:tcBorders>
              <w:top w:val="nil"/>
              <w:bottom w:val="nil"/>
            </w:tcBorders>
            <w:shd w:val="clear" w:color="auto" w:fill="auto"/>
          </w:tcPr>
          <w:p w14:paraId="2E061BBF" w14:textId="77777777" w:rsidR="00DC256A" w:rsidRDefault="005D727F" w:rsidP="00857093">
            <w:pPr>
              <w:spacing w:before="120" w:after="120"/>
              <w:rPr>
                <w:sz w:val="20"/>
                <w:szCs w:val="20"/>
              </w:rPr>
            </w:pPr>
            <w:r>
              <w:rPr>
                <w:b/>
                <w:sz w:val="20"/>
                <w:szCs w:val="20"/>
              </w:rPr>
              <w:t>Culture</w:t>
            </w:r>
          </w:p>
          <w:p w14:paraId="24E49BA6" w14:textId="5A13564A" w:rsidR="005D727F" w:rsidRPr="005D727F" w:rsidRDefault="005D727F" w:rsidP="00123082">
            <w:pPr>
              <w:spacing w:before="120" w:after="120"/>
              <w:rPr>
                <w:sz w:val="20"/>
                <w:szCs w:val="20"/>
              </w:rPr>
            </w:pPr>
            <w:r>
              <w:rPr>
                <w:sz w:val="20"/>
                <w:szCs w:val="20"/>
              </w:rPr>
              <w:t xml:space="preserve">Findings from the reviews undertaken highlight that the culture of the Council is that of a lack of understanding, compliance and adherence in respect of the governance framework.  The response to Service Level Assurance Statements contradict findings from reviews which implies / evidences that the Senior Managers are not aware / disregarding governance arrangements in respect of the Council’s corporate framework.  It is apparent, due to the findings of the investigation / governance work that this has been a culture arising from the top of the organisation, where the most Senior Officers of the organisation and Statutory officers </w:t>
            </w:r>
            <w:r w:rsidR="00123082">
              <w:rPr>
                <w:sz w:val="20"/>
                <w:szCs w:val="20"/>
              </w:rPr>
              <w:t>have disregarded the systems of checks and balances put in place to protect the organisation and its officers.</w:t>
            </w:r>
            <w:r w:rsidR="004E79AC">
              <w:rPr>
                <w:sz w:val="20"/>
                <w:szCs w:val="20"/>
              </w:rPr>
              <w:t xml:space="preserve">  Findings from these reviews evidence that there were significant failings by the Statutory Officers of the Council</w:t>
            </w:r>
            <w:r w:rsidR="00E860AD">
              <w:rPr>
                <w:sz w:val="20"/>
                <w:szCs w:val="20"/>
              </w:rPr>
              <w:t xml:space="preserve"> and fundamental failings in control, in some cases total disregard of the governance arrangements in place including insufficient challenge to reporting, decision making, lack of compliance and adherence to the Council’s key policies and procedures.</w:t>
            </w:r>
          </w:p>
        </w:tc>
      </w:tr>
      <w:tr w:rsidR="00DC256A" w:rsidRPr="00DC256A" w14:paraId="4827019A" w14:textId="77777777" w:rsidTr="00A30F81">
        <w:tc>
          <w:tcPr>
            <w:tcW w:w="851" w:type="dxa"/>
            <w:tcBorders>
              <w:top w:val="nil"/>
              <w:bottom w:val="nil"/>
            </w:tcBorders>
            <w:shd w:val="clear" w:color="auto" w:fill="auto"/>
          </w:tcPr>
          <w:p w14:paraId="2178DAA9" w14:textId="6B5A3316" w:rsidR="00DC256A" w:rsidRPr="00DC256A" w:rsidRDefault="00A30F81" w:rsidP="00857093">
            <w:pPr>
              <w:spacing w:before="120" w:after="120"/>
              <w:jc w:val="center"/>
              <w:rPr>
                <w:sz w:val="20"/>
                <w:szCs w:val="20"/>
              </w:rPr>
            </w:pPr>
            <w:r>
              <w:rPr>
                <w:sz w:val="20"/>
                <w:szCs w:val="20"/>
              </w:rPr>
              <w:t>5</w:t>
            </w:r>
            <w:r w:rsidR="00123082">
              <w:rPr>
                <w:sz w:val="20"/>
                <w:szCs w:val="20"/>
              </w:rPr>
              <w:t>.9</w:t>
            </w:r>
          </w:p>
        </w:tc>
        <w:tc>
          <w:tcPr>
            <w:tcW w:w="9922" w:type="dxa"/>
            <w:tcBorders>
              <w:top w:val="nil"/>
              <w:bottom w:val="nil"/>
            </w:tcBorders>
            <w:shd w:val="clear" w:color="auto" w:fill="auto"/>
          </w:tcPr>
          <w:p w14:paraId="3B34177C" w14:textId="77777777" w:rsidR="00DC256A" w:rsidRDefault="00123082" w:rsidP="00857093">
            <w:pPr>
              <w:spacing w:before="120" w:after="120"/>
              <w:rPr>
                <w:sz w:val="20"/>
                <w:szCs w:val="20"/>
              </w:rPr>
            </w:pPr>
            <w:r>
              <w:rPr>
                <w:b/>
                <w:sz w:val="20"/>
                <w:szCs w:val="20"/>
              </w:rPr>
              <w:t>Policies / Rules / Regulations / Processes</w:t>
            </w:r>
          </w:p>
          <w:p w14:paraId="34695678" w14:textId="05D4C000" w:rsidR="00123082" w:rsidRPr="00123082" w:rsidRDefault="00123082" w:rsidP="00F22E0C">
            <w:pPr>
              <w:spacing w:before="120" w:after="120"/>
              <w:rPr>
                <w:sz w:val="20"/>
                <w:szCs w:val="20"/>
              </w:rPr>
            </w:pPr>
            <w:r>
              <w:rPr>
                <w:sz w:val="20"/>
                <w:szCs w:val="20"/>
              </w:rPr>
              <w:t xml:space="preserve">There is a number of reviews that have highlighted that policies, procedures, rules, regulations etc. of the Council are consistently breached, not complied with, disregarded.  There are significant weaknesses in internal controls particularly in relation to Contract Procedure Rules and Procurement exercises of high value contracts, these breaches identified include breach of European Laws in relation to Procurement, which leaves the Council open to significant risk of financial, legislative and reputational damage.  Further there are contracts in place that have been extended for a number of years without any authority to do so.  The issues identified have given rise to an Internal Audit opinion of providing </w:t>
            </w:r>
            <w:r>
              <w:rPr>
                <w:b/>
                <w:sz w:val="20"/>
                <w:szCs w:val="20"/>
              </w:rPr>
              <w:t xml:space="preserve">No Assurance </w:t>
            </w:r>
            <w:r>
              <w:rPr>
                <w:sz w:val="20"/>
                <w:szCs w:val="20"/>
              </w:rPr>
              <w:t>relative to the contracts and projects reviewed in these case.  There are also significant failings in respect of project management and compliance with the decision making process relating to key decisions.</w:t>
            </w:r>
            <w:r w:rsidR="00F22E0C">
              <w:rPr>
                <w:sz w:val="20"/>
                <w:szCs w:val="20"/>
              </w:rPr>
              <w:t xml:space="preserve"> </w:t>
            </w:r>
          </w:p>
        </w:tc>
      </w:tr>
      <w:tr w:rsidR="00F22E0C" w:rsidRPr="00DC256A" w14:paraId="4F8E52CF" w14:textId="77777777" w:rsidTr="004E79AC">
        <w:tc>
          <w:tcPr>
            <w:tcW w:w="851" w:type="dxa"/>
            <w:tcBorders>
              <w:top w:val="nil"/>
              <w:bottom w:val="nil"/>
            </w:tcBorders>
            <w:shd w:val="clear" w:color="auto" w:fill="auto"/>
          </w:tcPr>
          <w:p w14:paraId="48C5151E" w14:textId="77777777" w:rsidR="00F22E0C" w:rsidRDefault="00F22E0C" w:rsidP="00857093">
            <w:pPr>
              <w:spacing w:before="120" w:after="120"/>
              <w:jc w:val="center"/>
              <w:rPr>
                <w:sz w:val="20"/>
                <w:szCs w:val="20"/>
              </w:rPr>
            </w:pPr>
          </w:p>
        </w:tc>
        <w:tc>
          <w:tcPr>
            <w:tcW w:w="9922" w:type="dxa"/>
            <w:tcBorders>
              <w:top w:val="nil"/>
              <w:bottom w:val="nil"/>
            </w:tcBorders>
            <w:shd w:val="clear" w:color="auto" w:fill="auto"/>
          </w:tcPr>
          <w:p w14:paraId="4BC7EAFA" w14:textId="6DC57C13" w:rsidR="00F22E0C" w:rsidRPr="00F22E0C" w:rsidRDefault="00F22E0C" w:rsidP="00F22E0C">
            <w:pPr>
              <w:spacing w:before="120" w:after="120"/>
              <w:rPr>
                <w:sz w:val="20"/>
                <w:szCs w:val="20"/>
              </w:rPr>
            </w:pPr>
            <w:r>
              <w:rPr>
                <w:sz w:val="20"/>
                <w:szCs w:val="20"/>
              </w:rPr>
              <w:t>The significant issues outlined above provide evidence to support the review of governance included in the Council’s Annual Governance Statement, actions relating to the issues are addressed in Management Actions from the Audit reports and the Annual Governance Statement Action Plan.</w:t>
            </w:r>
          </w:p>
        </w:tc>
      </w:tr>
      <w:tr w:rsidR="00DF6C5A" w:rsidRPr="00D30D54" w14:paraId="5AA7AD5F" w14:textId="77777777" w:rsidTr="00F22E0C">
        <w:tc>
          <w:tcPr>
            <w:tcW w:w="851" w:type="dxa"/>
            <w:tcBorders>
              <w:top w:val="single" w:sz="6" w:space="0" w:color="auto"/>
              <w:bottom w:val="single" w:sz="6" w:space="0" w:color="auto"/>
            </w:tcBorders>
            <w:shd w:val="clear" w:color="auto" w:fill="B8CCE4" w:themeFill="accent1" w:themeFillTint="66"/>
          </w:tcPr>
          <w:p w14:paraId="0FC1452C" w14:textId="77777777" w:rsidR="00DF6C5A" w:rsidRDefault="00DF6C5A" w:rsidP="00857093">
            <w:pPr>
              <w:spacing w:before="120" w:after="120"/>
              <w:jc w:val="center"/>
              <w:rPr>
                <w:b/>
              </w:rPr>
            </w:pPr>
          </w:p>
        </w:tc>
        <w:tc>
          <w:tcPr>
            <w:tcW w:w="9922" w:type="dxa"/>
            <w:tcBorders>
              <w:top w:val="single" w:sz="6" w:space="0" w:color="auto"/>
              <w:bottom w:val="single" w:sz="6" w:space="0" w:color="auto"/>
            </w:tcBorders>
            <w:shd w:val="clear" w:color="auto" w:fill="B8CCE4" w:themeFill="accent1" w:themeFillTint="66"/>
          </w:tcPr>
          <w:p w14:paraId="04876E86" w14:textId="4C35CBB4" w:rsidR="00DF6C5A" w:rsidRDefault="006127F1" w:rsidP="00857093">
            <w:pPr>
              <w:spacing w:before="120" w:after="120"/>
              <w:rPr>
                <w:b/>
              </w:rPr>
            </w:pPr>
            <w:r>
              <w:rPr>
                <w:b/>
              </w:rPr>
              <w:t>A</w:t>
            </w:r>
            <w:r w:rsidR="00F22E0C">
              <w:rPr>
                <w:b/>
              </w:rPr>
              <w:t>nnual Plan A</w:t>
            </w:r>
            <w:r>
              <w:rPr>
                <w:b/>
              </w:rPr>
              <w:t>udit Reviews Overview</w:t>
            </w:r>
          </w:p>
        </w:tc>
      </w:tr>
      <w:tr w:rsidR="008F783F" w:rsidRPr="006A0EC0" w14:paraId="33AEEE7F" w14:textId="77777777" w:rsidTr="00A30F81">
        <w:tc>
          <w:tcPr>
            <w:tcW w:w="851" w:type="dxa"/>
            <w:tcBorders>
              <w:top w:val="nil"/>
              <w:left w:val="single" w:sz="6" w:space="0" w:color="auto"/>
              <w:bottom w:val="nil"/>
            </w:tcBorders>
          </w:tcPr>
          <w:p w14:paraId="266A79AA" w14:textId="4A259276" w:rsidR="008F783F" w:rsidRPr="00F31D31" w:rsidRDefault="00A30F81" w:rsidP="000641D0">
            <w:pPr>
              <w:spacing w:before="120" w:after="120"/>
              <w:jc w:val="center"/>
              <w:rPr>
                <w:sz w:val="20"/>
                <w:szCs w:val="20"/>
              </w:rPr>
            </w:pPr>
            <w:r>
              <w:rPr>
                <w:sz w:val="20"/>
                <w:szCs w:val="20"/>
              </w:rPr>
              <w:t>5</w:t>
            </w:r>
            <w:r w:rsidR="00236DD5">
              <w:rPr>
                <w:sz w:val="20"/>
                <w:szCs w:val="20"/>
              </w:rPr>
              <w:t>.</w:t>
            </w:r>
            <w:r w:rsidR="00F22E0C">
              <w:rPr>
                <w:sz w:val="20"/>
                <w:szCs w:val="20"/>
              </w:rPr>
              <w:t>10</w:t>
            </w:r>
          </w:p>
        </w:tc>
        <w:tc>
          <w:tcPr>
            <w:tcW w:w="9922" w:type="dxa"/>
            <w:tcBorders>
              <w:top w:val="nil"/>
              <w:bottom w:val="nil"/>
            </w:tcBorders>
          </w:tcPr>
          <w:p w14:paraId="4168ED53" w14:textId="42E21305" w:rsidR="006127F1" w:rsidRDefault="006127F1" w:rsidP="0072175C">
            <w:pPr>
              <w:spacing w:before="120" w:after="120"/>
              <w:jc w:val="both"/>
              <w:rPr>
                <w:rFonts w:cs="Arial"/>
                <w:sz w:val="20"/>
                <w:szCs w:val="20"/>
              </w:rPr>
            </w:pPr>
            <w:r>
              <w:rPr>
                <w:rFonts w:cs="Arial"/>
                <w:sz w:val="20"/>
                <w:szCs w:val="20"/>
              </w:rPr>
              <w:t xml:space="preserve">A detailed summary of findings, resultant governance issues and an update, where relevant is included at Appendix 2 of this report.  In summary there are </w:t>
            </w:r>
            <w:r w:rsidR="00EE15BB">
              <w:rPr>
                <w:rFonts w:cs="Arial"/>
                <w:sz w:val="20"/>
                <w:szCs w:val="20"/>
              </w:rPr>
              <w:t xml:space="preserve">no areas with Substantial or Full Assurance, there are  </w:t>
            </w:r>
            <w:r>
              <w:rPr>
                <w:rFonts w:cs="Arial"/>
                <w:sz w:val="20"/>
                <w:szCs w:val="20"/>
              </w:rPr>
              <w:t>7 Service areas reviewed that are classed as providing an Adequate assurance, these are:-</w:t>
            </w:r>
          </w:p>
          <w:p w14:paraId="6AD2EBCD" w14:textId="77777777" w:rsidR="006127F1" w:rsidRDefault="006127F1" w:rsidP="006127F1">
            <w:pPr>
              <w:pStyle w:val="ListParagraph"/>
              <w:numPr>
                <w:ilvl w:val="0"/>
                <w:numId w:val="14"/>
              </w:numPr>
              <w:spacing w:before="120" w:after="120"/>
              <w:jc w:val="both"/>
              <w:rPr>
                <w:rFonts w:cs="Arial"/>
                <w:sz w:val="20"/>
                <w:szCs w:val="20"/>
              </w:rPr>
            </w:pPr>
            <w:r w:rsidRPr="006127F1">
              <w:rPr>
                <w:rFonts w:cs="Arial"/>
                <w:sz w:val="20"/>
                <w:szCs w:val="20"/>
              </w:rPr>
              <w:t>Absence Manag</w:t>
            </w:r>
            <w:r>
              <w:rPr>
                <w:rFonts w:cs="Arial"/>
                <w:sz w:val="20"/>
                <w:szCs w:val="20"/>
              </w:rPr>
              <w:t>e</w:t>
            </w:r>
            <w:r w:rsidRPr="006127F1">
              <w:rPr>
                <w:rFonts w:cs="Arial"/>
                <w:sz w:val="20"/>
                <w:szCs w:val="20"/>
              </w:rPr>
              <w:t>ment</w:t>
            </w:r>
          </w:p>
          <w:p w14:paraId="38AD10B5" w14:textId="77777777" w:rsidR="006127F1" w:rsidRDefault="006127F1" w:rsidP="006127F1">
            <w:pPr>
              <w:pStyle w:val="ListParagraph"/>
              <w:numPr>
                <w:ilvl w:val="0"/>
                <w:numId w:val="14"/>
              </w:numPr>
              <w:spacing w:before="120" w:after="120"/>
              <w:jc w:val="both"/>
              <w:rPr>
                <w:rFonts w:cs="Arial"/>
                <w:sz w:val="20"/>
                <w:szCs w:val="20"/>
              </w:rPr>
            </w:pPr>
            <w:r>
              <w:rPr>
                <w:rFonts w:cs="Arial"/>
                <w:sz w:val="20"/>
                <w:szCs w:val="20"/>
              </w:rPr>
              <w:t>Ethical Culture Review</w:t>
            </w:r>
          </w:p>
          <w:p w14:paraId="1BBB249E" w14:textId="77777777" w:rsidR="006127F1" w:rsidRDefault="006127F1" w:rsidP="006127F1">
            <w:pPr>
              <w:pStyle w:val="ListParagraph"/>
              <w:numPr>
                <w:ilvl w:val="0"/>
                <w:numId w:val="14"/>
              </w:numPr>
              <w:spacing w:before="120" w:after="120"/>
              <w:jc w:val="both"/>
              <w:rPr>
                <w:rFonts w:cs="Arial"/>
                <w:sz w:val="20"/>
                <w:szCs w:val="20"/>
              </w:rPr>
            </w:pPr>
            <w:r>
              <w:rPr>
                <w:rFonts w:cs="Arial"/>
                <w:sz w:val="20"/>
                <w:szCs w:val="20"/>
              </w:rPr>
              <w:t>Credit Cards</w:t>
            </w:r>
          </w:p>
          <w:p w14:paraId="2DF92DDD" w14:textId="1E2E308F" w:rsidR="006127F1" w:rsidRDefault="006127F1" w:rsidP="006127F1">
            <w:pPr>
              <w:pStyle w:val="ListParagraph"/>
              <w:numPr>
                <w:ilvl w:val="0"/>
                <w:numId w:val="14"/>
              </w:numPr>
              <w:spacing w:before="120" w:after="120"/>
              <w:jc w:val="both"/>
              <w:rPr>
                <w:rFonts w:cs="Arial"/>
                <w:sz w:val="20"/>
                <w:szCs w:val="20"/>
              </w:rPr>
            </w:pPr>
            <w:r>
              <w:rPr>
                <w:rFonts w:cs="Arial"/>
                <w:sz w:val="20"/>
                <w:szCs w:val="20"/>
              </w:rPr>
              <w:t>Environmental Health – Enforcement / Fixed Penalty Notices</w:t>
            </w:r>
          </w:p>
          <w:p w14:paraId="6D098E20" w14:textId="77777777" w:rsidR="006127F1" w:rsidRDefault="006127F1" w:rsidP="006127F1">
            <w:pPr>
              <w:pStyle w:val="ListParagraph"/>
              <w:numPr>
                <w:ilvl w:val="0"/>
                <w:numId w:val="14"/>
              </w:numPr>
              <w:spacing w:before="120" w:after="120"/>
              <w:jc w:val="both"/>
              <w:rPr>
                <w:rFonts w:cs="Arial"/>
                <w:sz w:val="20"/>
                <w:szCs w:val="20"/>
              </w:rPr>
            </w:pPr>
            <w:r>
              <w:rPr>
                <w:rFonts w:cs="Arial"/>
                <w:sz w:val="20"/>
                <w:szCs w:val="20"/>
              </w:rPr>
              <w:t>Environmental Health – Health &amp; Safety</w:t>
            </w:r>
          </w:p>
          <w:p w14:paraId="49E9826B" w14:textId="76233F04" w:rsidR="006127F1" w:rsidRDefault="00EE15BB" w:rsidP="006127F1">
            <w:pPr>
              <w:pStyle w:val="ListParagraph"/>
              <w:numPr>
                <w:ilvl w:val="0"/>
                <w:numId w:val="14"/>
              </w:numPr>
              <w:spacing w:before="120" w:after="120"/>
              <w:jc w:val="both"/>
              <w:rPr>
                <w:rFonts w:cs="Arial"/>
                <w:sz w:val="20"/>
                <w:szCs w:val="20"/>
              </w:rPr>
            </w:pPr>
            <w:r>
              <w:rPr>
                <w:rFonts w:cs="Arial"/>
                <w:sz w:val="20"/>
                <w:szCs w:val="20"/>
              </w:rPr>
              <w:t>Commercial Properties (c/f 2018/19)</w:t>
            </w:r>
          </w:p>
          <w:p w14:paraId="5DCA4466" w14:textId="29D6C480" w:rsidR="00A30F81" w:rsidRPr="00A30F81" w:rsidRDefault="00EE15BB" w:rsidP="00E860AD">
            <w:pPr>
              <w:pStyle w:val="ListParagraph"/>
              <w:numPr>
                <w:ilvl w:val="0"/>
                <w:numId w:val="14"/>
              </w:numPr>
              <w:spacing w:before="120" w:after="120"/>
              <w:jc w:val="both"/>
              <w:rPr>
                <w:rFonts w:cs="Arial"/>
                <w:sz w:val="20"/>
                <w:szCs w:val="20"/>
              </w:rPr>
            </w:pPr>
            <w:r>
              <w:rPr>
                <w:rFonts w:cs="Arial"/>
                <w:sz w:val="20"/>
                <w:szCs w:val="20"/>
              </w:rPr>
              <w:t>Health &amp; Safety (c/f 2018/19).</w:t>
            </w:r>
          </w:p>
        </w:tc>
      </w:tr>
      <w:tr w:rsidR="00A30F81" w:rsidRPr="006A0EC0" w14:paraId="31E3BE14" w14:textId="77777777" w:rsidTr="00A30F81">
        <w:tc>
          <w:tcPr>
            <w:tcW w:w="851" w:type="dxa"/>
            <w:tcBorders>
              <w:top w:val="nil"/>
              <w:left w:val="single" w:sz="6" w:space="0" w:color="auto"/>
              <w:bottom w:val="single" w:sz="6" w:space="0" w:color="auto"/>
            </w:tcBorders>
          </w:tcPr>
          <w:p w14:paraId="5C52A5E9" w14:textId="77777777" w:rsidR="00A30F81" w:rsidRDefault="00A30F81" w:rsidP="000641D0">
            <w:pPr>
              <w:spacing w:before="120" w:after="120"/>
              <w:jc w:val="center"/>
              <w:rPr>
                <w:sz w:val="20"/>
                <w:szCs w:val="20"/>
              </w:rPr>
            </w:pPr>
          </w:p>
        </w:tc>
        <w:tc>
          <w:tcPr>
            <w:tcW w:w="9922" w:type="dxa"/>
            <w:tcBorders>
              <w:top w:val="nil"/>
              <w:bottom w:val="single" w:sz="6" w:space="0" w:color="auto"/>
            </w:tcBorders>
          </w:tcPr>
          <w:p w14:paraId="69B3CD9C" w14:textId="77777777" w:rsidR="00A30F81" w:rsidRDefault="00A30F81" w:rsidP="000641D0">
            <w:pPr>
              <w:spacing w:before="120" w:after="120"/>
              <w:jc w:val="both"/>
              <w:rPr>
                <w:rFonts w:cs="Arial"/>
                <w:sz w:val="20"/>
                <w:szCs w:val="20"/>
              </w:rPr>
            </w:pPr>
          </w:p>
        </w:tc>
      </w:tr>
      <w:tr w:rsidR="008F783F" w:rsidRPr="006A0EC0" w14:paraId="3D9AA186" w14:textId="77777777" w:rsidTr="00A30F81">
        <w:tc>
          <w:tcPr>
            <w:tcW w:w="851" w:type="dxa"/>
            <w:tcBorders>
              <w:top w:val="single" w:sz="6" w:space="0" w:color="auto"/>
              <w:left w:val="single" w:sz="6" w:space="0" w:color="auto"/>
              <w:bottom w:val="nil"/>
            </w:tcBorders>
          </w:tcPr>
          <w:p w14:paraId="273AABBC" w14:textId="5D631653" w:rsidR="008F783F" w:rsidRPr="00F31D31" w:rsidRDefault="00A30F81" w:rsidP="000641D0">
            <w:pPr>
              <w:spacing w:before="120" w:after="120"/>
              <w:jc w:val="center"/>
              <w:rPr>
                <w:sz w:val="20"/>
                <w:szCs w:val="20"/>
              </w:rPr>
            </w:pPr>
            <w:r>
              <w:rPr>
                <w:sz w:val="20"/>
                <w:szCs w:val="20"/>
              </w:rPr>
              <w:t>5</w:t>
            </w:r>
            <w:r w:rsidR="00236DD5">
              <w:rPr>
                <w:sz w:val="20"/>
                <w:szCs w:val="20"/>
              </w:rPr>
              <w:t>.</w:t>
            </w:r>
            <w:r w:rsidR="00F22E0C">
              <w:rPr>
                <w:sz w:val="20"/>
                <w:szCs w:val="20"/>
              </w:rPr>
              <w:t>11</w:t>
            </w:r>
          </w:p>
        </w:tc>
        <w:tc>
          <w:tcPr>
            <w:tcW w:w="9922" w:type="dxa"/>
            <w:tcBorders>
              <w:top w:val="single" w:sz="6" w:space="0" w:color="auto"/>
              <w:bottom w:val="nil"/>
            </w:tcBorders>
          </w:tcPr>
          <w:p w14:paraId="760085BF" w14:textId="78C2401F" w:rsidR="008F783F" w:rsidRDefault="00EE15BB" w:rsidP="000641D0">
            <w:pPr>
              <w:spacing w:before="120" w:after="120"/>
              <w:jc w:val="both"/>
              <w:rPr>
                <w:rFonts w:cs="Arial"/>
                <w:sz w:val="20"/>
                <w:szCs w:val="20"/>
              </w:rPr>
            </w:pPr>
            <w:r>
              <w:rPr>
                <w:rFonts w:cs="Arial"/>
                <w:sz w:val="20"/>
                <w:szCs w:val="20"/>
              </w:rPr>
              <w:t>There are 10 SRBC areas where the opinion is Limited Assurance, they are:-</w:t>
            </w:r>
          </w:p>
          <w:p w14:paraId="023F5FFD" w14:textId="77777777" w:rsidR="00EE15BB" w:rsidRDefault="00EE15BB" w:rsidP="00EE15BB">
            <w:pPr>
              <w:pStyle w:val="ListParagraph"/>
              <w:numPr>
                <w:ilvl w:val="0"/>
                <w:numId w:val="15"/>
              </w:numPr>
              <w:spacing w:before="120" w:after="120"/>
              <w:jc w:val="both"/>
              <w:rPr>
                <w:rFonts w:cs="Arial"/>
                <w:sz w:val="20"/>
                <w:szCs w:val="20"/>
              </w:rPr>
            </w:pPr>
            <w:r>
              <w:rPr>
                <w:rFonts w:cs="Arial"/>
                <w:sz w:val="20"/>
                <w:szCs w:val="20"/>
              </w:rPr>
              <w:t>GDPR Compliance</w:t>
            </w:r>
          </w:p>
          <w:p w14:paraId="75E2D610" w14:textId="77777777" w:rsidR="00EE15BB" w:rsidRDefault="00EE15BB" w:rsidP="00EE15BB">
            <w:pPr>
              <w:pStyle w:val="ListParagraph"/>
              <w:numPr>
                <w:ilvl w:val="0"/>
                <w:numId w:val="15"/>
              </w:numPr>
              <w:spacing w:before="120" w:after="120"/>
              <w:jc w:val="both"/>
              <w:rPr>
                <w:rFonts w:cs="Arial"/>
                <w:sz w:val="20"/>
                <w:szCs w:val="20"/>
              </w:rPr>
            </w:pPr>
            <w:r>
              <w:rPr>
                <w:rFonts w:cs="Arial"/>
                <w:sz w:val="20"/>
                <w:szCs w:val="20"/>
              </w:rPr>
              <w:t>Environmental Health – Food Safety</w:t>
            </w:r>
          </w:p>
          <w:p w14:paraId="0B91C3FF" w14:textId="77777777" w:rsidR="00EE15BB" w:rsidRDefault="00EE15BB" w:rsidP="00EE15BB">
            <w:pPr>
              <w:pStyle w:val="ListParagraph"/>
              <w:numPr>
                <w:ilvl w:val="0"/>
                <w:numId w:val="15"/>
              </w:numPr>
              <w:spacing w:before="120" w:after="120"/>
              <w:jc w:val="both"/>
              <w:rPr>
                <w:rFonts w:cs="Arial"/>
                <w:sz w:val="20"/>
                <w:szCs w:val="20"/>
              </w:rPr>
            </w:pPr>
            <w:r>
              <w:rPr>
                <w:rFonts w:cs="Arial"/>
                <w:sz w:val="20"/>
                <w:szCs w:val="20"/>
              </w:rPr>
              <w:t>Car Park Management &amp; Enforcement</w:t>
            </w:r>
          </w:p>
          <w:p w14:paraId="3925B92F" w14:textId="77777777" w:rsidR="00EE15BB" w:rsidRDefault="00EE15BB" w:rsidP="00EE15BB">
            <w:pPr>
              <w:pStyle w:val="ListParagraph"/>
              <w:numPr>
                <w:ilvl w:val="0"/>
                <w:numId w:val="15"/>
              </w:numPr>
              <w:spacing w:before="120" w:after="120"/>
              <w:jc w:val="both"/>
              <w:rPr>
                <w:rFonts w:cs="Arial"/>
                <w:sz w:val="20"/>
                <w:szCs w:val="20"/>
              </w:rPr>
            </w:pPr>
            <w:r>
              <w:rPr>
                <w:rFonts w:cs="Arial"/>
                <w:sz w:val="20"/>
                <w:szCs w:val="20"/>
              </w:rPr>
              <w:t>Tree Inspection and Maintenance</w:t>
            </w:r>
          </w:p>
          <w:p w14:paraId="2401FCDB" w14:textId="77777777" w:rsidR="00EE15BB" w:rsidRDefault="00EE15BB" w:rsidP="00EE15BB">
            <w:pPr>
              <w:pStyle w:val="ListParagraph"/>
              <w:numPr>
                <w:ilvl w:val="0"/>
                <w:numId w:val="15"/>
              </w:numPr>
              <w:spacing w:before="120" w:after="120"/>
              <w:jc w:val="both"/>
              <w:rPr>
                <w:rFonts w:cs="Arial"/>
                <w:sz w:val="20"/>
                <w:szCs w:val="20"/>
              </w:rPr>
            </w:pPr>
            <w:r>
              <w:rPr>
                <w:rFonts w:cs="Arial"/>
                <w:sz w:val="20"/>
                <w:szCs w:val="20"/>
              </w:rPr>
              <w:t>Performance Management Information (2018/19 original, extra work 2019/20)</w:t>
            </w:r>
          </w:p>
          <w:p w14:paraId="63170C62" w14:textId="77777777" w:rsidR="00EE15BB" w:rsidRDefault="00EE15BB" w:rsidP="00EE15BB">
            <w:pPr>
              <w:pStyle w:val="ListParagraph"/>
              <w:numPr>
                <w:ilvl w:val="0"/>
                <w:numId w:val="15"/>
              </w:numPr>
              <w:spacing w:before="120" w:after="120"/>
              <w:jc w:val="both"/>
              <w:rPr>
                <w:rFonts w:cs="Arial"/>
                <w:sz w:val="20"/>
                <w:szCs w:val="20"/>
              </w:rPr>
            </w:pPr>
            <w:r>
              <w:rPr>
                <w:rFonts w:cs="Arial"/>
                <w:sz w:val="20"/>
                <w:szCs w:val="20"/>
              </w:rPr>
              <w:t>Commercial Properties Follow Up</w:t>
            </w:r>
          </w:p>
          <w:p w14:paraId="0642EEA9" w14:textId="77777777" w:rsidR="00EE15BB" w:rsidRDefault="00EE15BB" w:rsidP="00EE15BB">
            <w:pPr>
              <w:pStyle w:val="ListParagraph"/>
              <w:numPr>
                <w:ilvl w:val="0"/>
                <w:numId w:val="15"/>
              </w:numPr>
              <w:spacing w:before="120" w:after="120"/>
              <w:jc w:val="both"/>
              <w:rPr>
                <w:rFonts w:cs="Arial"/>
                <w:sz w:val="20"/>
                <w:szCs w:val="20"/>
              </w:rPr>
            </w:pPr>
            <w:r>
              <w:rPr>
                <w:rFonts w:cs="Arial"/>
                <w:sz w:val="20"/>
                <w:szCs w:val="20"/>
              </w:rPr>
              <w:t>Health &amp; Wellbeing Campus</w:t>
            </w:r>
          </w:p>
          <w:p w14:paraId="03E30027" w14:textId="77777777" w:rsidR="00EE15BB" w:rsidRDefault="00EE15BB" w:rsidP="00EE15BB">
            <w:pPr>
              <w:pStyle w:val="ListParagraph"/>
              <w:numPr>
                <w:ilvl w:val="0"/>
                <w:numId w:val="15"/>
              </w:numPr>
              <w:spacing w:before="120" w:after="120"/>
              <w:jc w:val="both"/>
              <w:rPr>
                <w:rFonts w:cs="Arial"/>
                <w:sz w:val="20"/>
                <w:szCs w:val="20"/>
              </w:rPr>
            </w:pPr>
            <w:r>
              <w:rPr>
                <w:rFonts w:cs="Arial"/>
                <w:sz w:val="20"/>
                <w:szCs w:val="20"/>
              </w:rPr>
              <w:t>Commercial Properties (original review c/f2018/19)</w:t>
            </w:r>
          </w:p>
          <w:p w14:paraId="55299156" w14:textId="77777777" w:rsidR="00EE15BB" w:rsidRDefault="00EE15BB" w:rsidP="00EE15BB">
            <w:pPr>
              <w:pStyle w:val="ListParagraph"/>
              <w:numPr>
                <w:ilvl w:val="0"/>
                <w:numId w:val="15"/>
              </w:numPr>
              <w:spacing w:before="120" w:after="120"/>
              <w:jc w:val="both"/>
              <w:rPr>
                <w:rFonts w:cs="Arial"/>
                <w:sz w:val="20"/>
                <w:szCs w:val="20"/>
              </w:rPr>
            </w:pPr>
            <w:r>
              <w:rPr>
                <w:rFonts w:cs="Arial"/>
                <w:sz w:val="20"/>
                <w:szCs w:val="20"/>
              </w:rPr>
              <w:t>Recruitment Compliance (Investigation / Governance Work)</w:t>
            </w:r>
          </w:p>
          <w:p w14:paraId="779FD19F" w14:textId="5CE00193" w:rsidR="00EE15BB" w:rsidRDefault="00EE15BB" w:rsidP="00EE15BB">
            <w:pPr>
              <w:pStyle w:val="ListParagraph"/>
              <w:numPr>
                <w:ilvl w:val="0"/>
                <w:numId w:val="15"/>
              </w:numPr>
              <w:spacing w:before="120" w:after="120"/>
              <w:jc w:val="both"/>
              <w:rPr>
                <w:rFonts w:cs="Arial"/>
                <w:sz w:val="20"/>
                <w:szCs w:val="20"/>
              </w:rPr>
            </w:pPr>
            <w:r>
              <w:rPr>
                <w:rFonts w:cs="Arial"/>
                <w:sz w:val="20"/>
                <w:szCs w:val="20"/>
              </w:rPr>
              <w:t>Compliance with Council Financial Policies, Procedures, Rules &amp; Regulations (Investigation / Governance Work)</w:t>
            </w:r>
          </w:p>
          <w:p w14:paraId="10DB06A5" w14:textId="1A634EF9" w:rsidR="00EE15BB" w:rsidRPr="00EE15BB" w:rsidRDefault="00EE15BB" w:rsidP="00EE15BB">
            <w:pPr>
              <w:pStyle w:val="ListParagraph"/>
              <w:numPr>
                <w:ilvl w:val="0"/>
                <w:numId w:val="15"/>
              </w:numPr>
              <w:spacing w:before="120" w:after="120"/>
              <w:jc w:val="both"/>
              <w:rPr>
                <w:rFonts w:cs="Arial"/>
                <w:sz w:val="20"/>
                <w:szCs w:val="20"/>
              </w:rPr>
            </w:pPr>
            <w:r>
              <w:rPr>
                <w:rFonts w:cs="Arial"/>
                <w:sz w:val="20"/>
                <w:szCs w:val="20"/>
              </w:rPr>
              <w:t>Compliance with Capability Policy (Investigation / Governance Work)</w:t>
            </w:r>
          </w:p>
        </w:tc>
      </w:tr>
      <w:tr w:rsidR="008F783F" w:rsidRPr="006A0EC0" w14:paraId="2788B18D" w14:textId="77777777" w:rsidTr="00D64382">
        <w:tc>
          <w:tcPr>
            <w:tcW w:w="851" w:type="dxa"/>
            <w:tcBorders>
              <w:top w:val="nil"/>
              <w:left w:val="single" w:sz="6" w:space="0" w:color="auto"/>
              <w:bottom w:val="nil"/>
            </w:tcBorders>
          </w:tcPr>
          <w:p w14:paraId="25242CFB" w14:textId="1A2B56F6" w:rsidR="008F783F" w:rsidRPr="00F31D31" w:rsidRDefault="00A30F81" w:rsidP="000641D0">
            <w:pPr>
              <w:spacing w:before="120" w:after="120"/>
              <w:jc w:val="center"/>
              <w:rPr>
                <w:sz w:val="20"/>
                <w:szCs w:val="20"/>
              </w:rPr>
            </w:pPr>
            <w:r>
              <w:rPr>
                <w:sz w:val="20"/>
                <w:szCs w:val="20"/>
              </w:rPr>
              <w:t>5</w:t>
            </w:r>
            <w:r w:rsidR="00236DD5">
              <w:rPr>
                <w:sz w:val="20"/>
                <w:szCs w:val="20"/>
              </w:rPr>
              <w:t>.</w:t>
            </w:r>
            <w:r w:rsidR="00F22E0C">
              <w:rPr>
                <w:sz w:val="20"/>
                <w:szCs w:val="20"/>
              </w:rPr>
              <w:t>12</w:t>
            </w:r>
          </w:p>
        </w:tc>
        <w:tc>
          <w:tcPr>
            <w:tcW w:w="9922" w:type="dxa"/>
            <w:tcBorders>
              <w:top w:val="nil"/>
              <w:bottom w:val="nil"/>
            </w:tcBorders>
          </w:tcPr>
          <w:p w14:paraId="77DE55A6" w14:textId="58FD067F" w:rsidR="008F783F" w:rsidRPr="00E26FAE" w:rsidRDefault="00EE15BB" w:rsidP="00EE15BB">
            <w:pPr>
              <w:spacing w:before="120" w:after="120"/>
              <w:jc w:val="both"/>
              <w:rPr>
                <w:rFonts w:cs="Arial"/>
                <w:sz w:val="20"/>
                <w:szCs w:val="20"/>
              </w:rPr>
            </w:pPr>
            <w:r>
              <w:rPr>
                <w:rFonts w:cs="Arial"/>
                <w:sz w:val="20"/>
                <w:szCs w:val="20"/>
              </w:rPr>
              <w:t>One areas that sits within Shared Services also has an opinion of Limited Assurance – Creditors, this is relative to both Council’s as the system that has been reviewed is shared.</w:t>
            </w:r>
          </w:p>
        </w:tc>
      </w:tr>
      <w:tr w:rsidR="008F783F" w:rsidRPr="006A0EC0" w14:paraId="186C5A44" w14:textId="77777777" w:rsidTr="00D64382">
        <w:tc>
          <w:tcPr>
            <w:tcW w:w="851" w:type="dxa"/>
            <w:tcBorders>
              <w:top w:val="nil"/>
              <w:left w:val="single" w:sz="6" w:space="0" w:color="auto"/>
              <w:bottom w:val="nil"/>
            </w:tcBorders>
          </w:tcPr>
          <w:p w14:paraId="777B80EA" w14:textId="10405609" w:rsidR="008F783F" w:rsidRPr="00F31D31" w:rsidRDefault="00A30F81" w:rsidP="000641D0">
            <w:pPr>
              <w:spacing w:before="120" w:after="120"/>
              <w:jc w:val="center"/>
              <w:rPr>
                <w:sz w:val="20"/>
                <w:szCs w:val="20"/>
              </w:rPr>
            </w:pPr>
            <w:r>
              <w:rPr>
                <w:sz w:val="20"/>
                <w:szCs w:val="20"/>
              </w:rPr>
              <w:t>5</w:t>
            </w:r>
            <w:r w:rsidR="00236DD5">
              <w:rPr>
                <w:sz w:val="20"/>
                <w:szCs w:val="20"/>
              </w:rPr>
              <w:t>.</w:t>
            </w:r>
            <w:r w:rsidR="00F22E0C">
              <w:rPr>
                <w:sz w:val="20"/>
                <w:szCs w:val="20"/>
              </w:rPr>
              <w:t>13</w:t>
            </w:r>
          </w:p>
        </w:tc>
        <w:tc>
          <w:tcPr>
            <w:tcW w:w="9922" w:type="dxa"/>
            <w:tcBorders>
              <w:top w:val="nil"/>
              <w:bottom w:val="nil"/>
            </w:tcBorders>
          </w:tcPr>
          <w:p w14:paraId="4560CD89" w14:textId="77777777" w:rsidR="004A16B4" w:rsidRDefault="00EE15BB" w:rsidP="00EE15BB">
            <w:pPr>
              <w:spacing w:before="120" w:after="120"/>
              <w:jc w:val="both"/>
              <w:rPr>
                <w:rFonts w:cs="Arial"/>
                <w:sz w:val="20"/>
                <w:szCs w:val="20"/>
              </w:rPr>
            </w:pPr>
            <w:r>
              <w:rPr>
                <w:rFonts w:cs="Arial"/>
                <w:sz w:val="20"/>
                <w:szCs w:val="20"/>
              </w:rPr>
              <w:t xml:space="preserve">Two of the areas reviewed were found to have serious, significant and fundamental failures of control, breaches of financial and contract procedure rules, fundamental failings in management controls and potentially breaches of European Legislation relating to Procurement rules.  For this reason, the Interim Head of Shared Assurance considered that the current assurance levels could not apply, therefore the opinion is that </w:t>
            </w:r>
            <w:r>
              <w:rPr>
                <w:rFonts w:cs="Arial"/>
                <w:b/>
                <w:sz w:val="20"/>
                <w:szCs w:val="20"/>
              </w:rPr>
              <w:t xml:space="preserve">No Assurance </w:t>
            </w:r>
            <w:r>
              <w:rPr>
                <w:rFonts w:cs="Arial"/>
                <w:sz w:val="20"/>
                <w:szCs w:val="20"/>
              </w:rPr>
              <w:t>could be placed on the effectiveness of the controls in place and the extent to which risks have been mitigated.  It should be noted that this is only in relation to the specific areas reviewed in each of the reviews, which are:-</w:t>
            </w:r>
          </w:p>
          <w:p w14:paraId="33ED2007" w14:textId="77777777" w:rsidR="00EE15BB" w:rsidRDefault="00EE15BB" w:rsidP="00EE15BB">
            <w:pPr>
              <w:pStyle w:val="ListParagraph"/>
              <w:numPr>
                <w:ilvl w:val="0"/>
                <w:numId w:val="16"/>
              </w:numPr>
              <w:spacing w:before="120" w:after="120"/>
              <w:jc w:val="both"/>
              <w:rPr>
                <w:rFonts w:cs="Arial"/>
                <w:sz w:val="20"/>
                <w:szCs w:val="20"/>
              </w:rPr>
            </w:pPr>
            <w:r>
              <w:rPr>
                <w:rFonts w:cs="Arial"/>
                <w:sz w:val="20"/>
                <w:szCs w:val="20"/>
              </w:rPr>
              <w:t>Procurement (Utilities &amp; 2 Other Contracts) – no assurance applies to these specific contracts and procurement exercises;</w:t>
            </w:r>
          </w:p>
          <w:p w14:paraId="580D7C74" w14:textId="4055482A" w:rsidR="00EE15BB" w:rsidRPr="00EE15BB" w:rsidRDefault="00EE15BB" w:rsidP="00EE15BB">
            <w:pPr>
              <w:pStyle w:val="ListParagraph"/>
              <w:numPr>
                <w:ilvl w:val="0"/>
                <w:numId w:val="16"/>
              </w:numPr>
              <w:spacing w:before="120" w:after="120"/>
              <w:jc w:val="both"/>
              <w:rPr>
                <w:rFonts w:cs="Arial"/>
                <w:sz w:val="20"/>
                <w:szCs w:val="20"/>
              </w:rPr>
            </w:pPr>
            <w:r>
              <w:rPr>
                <w:rFonts w:cs="Arial"/>
                <w:sz w:val="20"/>
                <w:szCs w:val="20"/>
              </w:rPr>
              <w:t xml:space="preserve">Health &amp; Wellbeing Leisure Campus – no assurance applies to those specific issues in respect of key decisions, contract procedure rules, project management relating to </w:t>
            </w:r>
            <w:r w:rsidR="00C50093">
              <w:rPr>
                <w:rFonts w:cs="Arial"/>
                <w:sz w:val="20"/>
                <w:szCs w:val="20"/>
              </w:rPr>
              <w:t>specific project.</w:t>
            </w:r>
          </w:p>
        </w:tc>
      </w:tr>
      <w:tr w:rsidR="008F783F" w:rsidRPr="006A0EC0" w14:paraId="723DF69D" w14:textId="77777777" w:rsidTr="00F22E0C">
        <w:tc>
          <w:tcPr>
            <w:tcW w:w="851" w:type="dxa"/>
            <w:tcBorders>
              <w:top w:val="nil"/>
              <w:left w:val="single" w:sz="6" w:space="0" w:color="auto"/>
              <w:bottom w:val="nil"/>
            </w:tcBorders>
          </w:tcPr>
          <w:p w14:paraId="3B36A307" w14:textId="7135913F" w:rsidR="008F783F" w:rsidRPr="00F31D31" w:rsidRDefault="00A30F81" w:rsidP="000641D0">
            <w:pPr>
              <w:spacing w:before="120" w:after="120"/>
              <w:jc w:val="center"/>
              <w:rPr>
                <w:sz w:val="20"/>
                <w:szCs w:val="20"/>
              </w:rPr>
            </w:pPr>
            <w:r>
              <w:rPr>
                <w:sz w:val="20"/>
                <w:szCs w:val="20"/>
              </w:rPr>
              <w:t>5</w:t>
            </w:r>
            <w:r w:rsidR="00236DD5">
              <w:rPr>
                <w:sz w:val="20"/>
                <w:szCs w:val="20"/>
              </w:rPr>
              <w:t>.</w:t>
            </w:r>
            <w:r w:rsidR="00F22E0C">
              <w:rPr>
                <w:sz w:val="20"/>
                <w:szCs w:val="20"/>
              </w:rPr>
              <w:t>14</w:t>
            </w:r>
          </w:p>
        </w:tc>
        <w:tc>
          <w:tcPr>
            <w:tcW w:w="9922" w:type="dxa"/>
            <w:tcBorders>
              <w:top w:val="nil"/>
              <w:bottom w:val="nil"/>
            </w:tcBorders>
          </w:tcPr>
          <w:p w14:paraId="3A1928C6" w14:textId="08FFC808" w:rsidR="00F22E0C" w:rsidRPr="002C089B" w:rsidRDefault="00C50093" w:rsidP="00A30F81">
            <w:pPr>
              <w:spacing w:before="120" w:after="120"/>
              <w:jc w:val="both"/>
              <w:rPr>
                <w:rFonts w:cs="Arial"/>
                <w:sz w:val="20"/>
                <w:szCs w:val="20"/>
              </w:rPr>
            </w:pPr>
            <w:r>
              <w:rPr>
                <w:rFonts w:cs="Arial"/>
                <w:sz w:val="20"/>
                <w:szCs w:val="20"/>
              </w:rPr>
              <w:t>These 2 reports are attached to another report to Governance Committee, which is the report in respect of the Audit reviews with Limited Assurance opinion.</w:t>
            </w:r>
          </w:p>
        </w:tc>
      </w:tr>
      <w:tr w:rsidR="00F22E0C" w:rsidRPr="006A0EC0" w14:paraId="5C7BC767" w14:textId="77777777" w:rsidTr="00F22E0C">
        <w:tc>
          <w:tcPr>
            <w:tcW w:w="851" w:type="dxa"/>
            <w:tcBorders>
              <w:top w:val="nil"/>
              <w:left w:val="single" w:sz="6" w:space="0" w:color="auto"/>
              <w:bottom w:val="single" w:sz="6" w:space="0" w:color="auto"/>
            </w:tcBorders>
          </w:tcPr>
          <w:p w14:paraId="6DDF0C1B" w14:textId="77777777" w:rsidR="00F22E0C" w:rsidRDefault="00F22E0C" w:rsidP="000641D0">
            <w:pPr>
              <w:spacing w:before="120" w:after="120"/>
              <w:jc w:val="center"/>
              <w:rPr>
                <w:sz w:val="20"/>
                <w:szCs w:val="20"/>
              </w:rPr>
            </w:pPr>
          </w:p>
        </w:tc>
        <w:tc>
          <w:tcPr>
            <w:tcW w:w="9922" w:type="dxa"/>
            <w:tcBorders>
              <w:top w:val="nil"/>
              <w:bottom w:val="single" w:sz="6" w:space="0" w:color="auto"/>
            </w:tcBorders>
          </w:tcPr>
          <w:p w14:paraId="20E06B29" w14:textId="77777777" w:rsidR="00F22E0C" w:rsidRDefault="00F22E0C" w:rsidP="004A16B4">
            <w:pPr>
              <w:spacing w:before="120" w:after="120"/>
              <w:jc w:val="both"/>
              <w:rPr>
                <w:rFonts w:cs="Arial"/>
                <w:sz w:val="20"/>
                <w:szCs w:val="20"/>
              </w:rPr>
            </w:pPr>
          </w:p>
        </w:tc>
      </w:tr>
      <w:tr w:rsidR="00C50093" w:rsidRPr="00D30D54" w14:paraId="0A9064FB" w14:textId="77777777" w:rsidTr="00857093">
        <w:tc>
          <w:tcPr>
            <w:tcW w:w="851" w:type="dxa"/>
            <w:tcBorders>
              <w:bottom w:val="single" w:sz="6" w:space="0" w:color="auto"/>
            </w:tcBorders>
            <w:shd w:val="clear" w:color="auto" w:fill="B8CCE4" w:themeFill="accent1" w:themeFillTint="66"/>
          </w:tcPr>
          <w:p w14:paraId="29412F06" w14:textId="46D49A52" w:rsidR="00C50093" w:rsidRDefault="00F22E0C" w:rsidP="00857093">
            <w:pPr>
              <w:spacing w:before="120" w:after="120"/>
              <w:jc w:val="center"/>
              <w:rPr>
                <w:b/>
              </w:rPr>
            </w:pPr>
            <w:r>
              <w:br w:type="page"/>
            </w:r>
          </w:p>
        </w:tc>
        <w:tc>
          <w:tcPr>
            <w:tcW w:w="9922" w:type="dxa"/>
            <w:tcBorders>
              <w:bottom w:val="single" w:sz="6" w:space="0" w:color="auto"/>
            </w:tcBorders>
            <w:shd w:val="clear" w:color="auto" w:fill="B8CCE4" w:themeFill="accent1" w:themeFillTint="66"/>
          </w:tcPr>
          <w:p w14:paraId="44B5B93E" w14:textId="607EA269" w:rsidR="00C50093" w:rsidRDefault="00C50093" w:rsidP="00857093">
            <w:pPr>
              <w:spacing w:before="120" w:after="120"/>
              <w:rPr>
                <w:b/>
              </w:rPr>
            </w:pPr>
            <w:r>
              <w:rPr>
                <w:b/>
              </w:rPr>
              <w:t>Audit Reviews Overview Governance / Investigation Report</w:t>
            </w:r>
          </w:p>
        </w:tc>
      </w:tr>
      <w:tr w:rsidR="008F783F" w:rsidRPr="006A0EC0" w14:paraId="4AA7F2F9" w14:textId="77777777" w:rsidTr="00D64382">
        <w:tc>
          <w:tcPr>
            <w:tcW w:w="851" w:type="dxa"/>
            <w:tcBorders>
              <w:top w:val="nil"/>
              <w:left w:val="single" w:sz="6" w:space="0" w:color="auto"/>
              <w:bottom w:val="nil"/>
            </w:tcBorders>
          </w:tcPr>
          <w:p w14:paraId="43E94C78" w14:textId="62224C3E" w:rsidR="008F783F" w:rsidRPr="00F31D31" w:rsidRDefault="00A30F81" w:rsidP="000641D0">
            <w:pPr>
              <w:spacing w:before="120" w:after="120"/>
              <w:jc w:val="center"/>
              <w:rPr>
                <w:sz w:val="20"/>
                <w:szCs w:val="20"/>
              </w:rPr>
            </w:pPr>
            <w:r>
              <w:rPr>
                <w:sz w:val="20"/>
                <w:szCs w:val="20"/>
              </w:rPr>
              <w:t>5</w:t>
            </w:r>
            <w:r w:rsidR="00236DD5">
              <w:rPr>
                <w:sz w:val="20"/>
                <w:szCs w:val="20"/>
              </w:rPr>
              <w:t>.1</w:t>
            </w:r>
            <w:r w:rsidR="00F22E0C">
              <w:rPr>
                <w:sz w:val="20"/>
                <w:szCs w:val="20"/>
              </w:rPr>
              <w:t>5</w:t>
            </w:r>
          </w:p>
        </w:tc>
        <w:tc>
          <w:tcPr>
            <w:tcW w:w="9922" w:type="dxa"/>
            <w:tcBorders>
              <w:top w:val="nil"/>
              <w:bottom w:val="nil"/>
            </w:tcBorders>
          </w:tcPr>
          <w:p w14:paraId="56C25E78" w14:textId="54D9543B" w:rsidR="008F783F" w:rsidRDefault="00C50093" w:rsidP="00C50093">
            <w:pPr>
              <w:spacing w:before="120" w:after="120"/>
              <w:jc w:val="both"/>
              <w:rPr>
                <w:rFonts w:cs="Arial"/>
                <w:sz w:val="20"/>
                <w:szCs w:val="20"/>
              </w:rPr>
            </w:pPr>
            <w:r>
              <w:rPr>
                <w:rFonts w:cs="Arial"/>
                <w:sz w:val="20"/>
                <w:szCs w:val="20"/>
              </w:rPr>
              <w:t>There are 4  review areas included in the progress report relating to the issues arising from the work related to the 2 most senior officers of the Council who have since left, and Governance issues arising from the original AGS presented to Governance Committee in May 2019, these are:-</w:t>
            </w:r>
          </w:p>
          <w:p w14:paraId="66E61E47" w14:textId="77777777" w:rsidR="00C50093" w:rsidRDefault="00C50093" w:rsidP="00C50093">
            <w:pPr>
              <w:pStyle w:val="ListParagraph"/>
              <w:numPr>
                <w:ilvl w:val="0"/>
                <w:numId w:val="17"/>
              </w:numPr>
              <w:spacing w:before="120" w:after="120"/>
              <w:jc w:val="both"/>
              <w:rPr>
                <w:rFonts w:cs="Arial"/>
                <w:sz w:val="20"/>
                <w:szCs w:val="20"/>
              </w:rPr>
            </w:pPr>
            <w:r>
              <w:rPr>
                <w:rFonts w:cs="Arial"/>
                <w:sz w:val="20"/>
                <w:szCs w:val="20"/>
              </w:rPr>
              <w:t>IRG / AGS – review of action plan arising from IRG included in AGS 2019 as completed;</w:t>
            </w:r>
          </w:p>
          <w:p w14:paraId="47BAA6E6" w14:textId="77777777" w:rsidR="00C50093" w:rsidRDefault="00C50093" w:rsidP="00C50093">
            <w:pPr>
              <w:pStyle w:val="ListParagraph"/>
              <w:numPr>
                <w:ilvl w:val="0"/>
                <w:numId w:val="17"/>
              </w:numPr>
              <w:spacing w:before="120" w:after="120"/>
              <w:jc w:val="both"/>
              <w:rPr>
                <w:rFonts w:cs="Arial"/>
                <w:sz w:val="20"/>
                <w:szCs w:val="20"/>
              </w:rPr>
            </w:pPr>
            <w:r>
              <w:rPr>
                <w:rFonts w:cs="Arial"/>
                <w:sz w:val="20"/>
                <w:szCs w:val="20"/>
              </w:rPr>
              <w:t>Recruitment Compliance – compliance with Recruitment &amp; Selection policy in appointment of Senior Officers;</w:t>
            </w:r>
          </w:p>
          <w:p w14:paraId="780287A8" w14:textId="0DF5EB19" w:rsidR="00C50093" w:rsidRDefault="00C50093" w:rsidP="00C50093">
            <w:pPr>
              <w:pStyle w:val="ListParagraph"/>
              <w:numPr>
                <w:ilvl w:val="0"/>
                <w:numId w:val="17"/>
              </w:numPr>
              <w:spacing w:before="120" w:after="120"/>
              <w:jc w:val="both"/>
              <w:rPr>
                <w:rFonts w:cs="Arial"/>
                <w:sz w:val="20"/>
                <w:szCs w:val="20"/>
              </w:rPr>
            </w:pPr>
            <w:r>
              <w:rPr>
                <w:rFonts w:cs="Arial"/>
                <w:sz w:val="20"/>
                <w:szCs w:val="20"/>
              </w:rPr>
              <w:t>Compliance with Council Financial Policies, Procedures, Rules &amp; Regulations – compliance with policies and adherence to rules etc.</w:t>
            </w:r>
          </w:p>
          <w:p w14:paraId="68276704" w14:textId="17478B6F" w:rsidR="00C50093" w:rsidRPr="00C50093" w:rsidRDefault="00C50093" w:rsidP="00C50093">
            <w:pPr>
              <w:pStyle w:val="ListParagraph"/>
              <w:numPr>
                <w:ilvl w:val="0"/>
                <w:numId w:val="17"/>
              </w:numPr>
              <w:spacing w:before="120" w:after="120"/>
              <w:jc w:val="both"/>
              <w:rPr>
                <w:rFonts w:cs="Arial"/>
                <w:sz w:val="20"/>
                <w:szCs w:val="20"/>
              </w:rPr>
            </w:pPr>
            <w:r>
              <w:rPr>
                <w:rFonts w:cs="Arial"/>
                <w:sz w:val="20"/>
                <w:szCs w:val="20"/>
              </w:rPr>
              <w:t>Compliance with Capability Policy – compliance with Policies relation to HR capability procedure.</w:t>
            </w:r>
          </w:p>
        </w:tc>
      </w:tr>
      <w:tr w:rsidR="008F783F" w:rsidRPr="006A0EC0" w14:paraId="0775C51C" w14:textId="77777777" w:rsidTr="00E860AD">
        <w:tc>
          <w:tcPr>
            <w:tcW w:w="851" w:type="dxa"/>
            <w:tcBorders>
              <w:top w:val="nil"/>
              <w:bottom w:val="nil"/>
            </w:tcBorders>
          </w:tcPr>
          <w:p w14:paraId="0C6A739F" w14:textId="4DFDC2B2" w:rsidR="008F783F" w:rsidRPr="00F31D31" w:rsidRDefault="00A30F81" w:rsidP="000641D0">
            <w:pPr>
              <w:spacing w:before="120" w:after="120"/>
              <w:jc w:val="center"/>
              <w:rPr>
                <w:sz w:val="20"/>
                <w:szCs w:val="20"/>
              </w:rPr>
            </w:pPr>
            <w:r>
              <w:rPr>
                <w:sz w:val="20"/>
                <w:szCs w:val="20"/>
              </w:rPr>
              <w:t>5.16</w:t>
            </w:r>
          </w:p>
        </w:tc>
        <w:tc>
          <w:tcPr>
            <w:tcW w:w="9922" w:type="dxa"/>
            <w:tcBorders>
              <w:top w:val="nil"/>
              <w:bottom w:val="nil"/>
            </w:tcBorders>
          </w:tcPr>
          <w:p w14:paraId="6AE25222" w14:textId="20C138FD" w:rsidR="00C50093" w:rsidRPr="002C089B" w:rsidRDefault="00C50093" w:rsidP="00236DD5">
            <w:pPr>
              <w:spacing w:before="120" w:after="120"/>
              <w:jc w:val="both"/>
              <w:rPr>
                <w:rFonts w:cs="Arial"/>
                <w:sz w:val="20"/>
                <w:szCs w:val="20"/>
              </w:rPr>
            </w:pPr>
            <w:r>
              <w:rPr>
                <w:rFonts w:cs="Arial"/>
                <w:sz w:val="20"/>
                <w:szCs w:val="20"/>
              </w:rPr>
              <w:t>The following is a summary of the findings from those Reviews;</w:t>
            </w:r>
          </w:p>
        </w:tc>
      </w:tr>
      <w:tr w:rsidR="008F783F" w:rsidRPr="006A0EC0" w14:paraId="083D9E92" w14:textId="77777777" w:rsidTr="00E860AD">
        <w:tc>
          <w:tcPr>
            <w:tcW w:w="851" w:type="dxa"/>
            <w:tcBorders>
              <w:top w:val="nil"/>
              <w:bottom w:val="nil"/>
            </w:tcBorders>
          </w:tcPr>
          <w:p w14:paraId="2E7F9168" w14:textId="2A5B3514" w:rsidR="008F783F" w:rsidRPr="00F31D31" w:rsidRDefault="00A30F81" w:rsidP="000641D0">
            <w:pPr>
              <w:spacing w:before="120" w:after="120"/>
              <w:jc w:val="center"/>
              <w:rPr>
                <w:sz w:val="20"/>
                <w:szCs w:val="20"/>
              </w:rPr>
            </w:pPr>
            <w:r>
              <w:rPr>
                <w:sz w:val="20"/>
                <w:szCs w:val="20"/>
              </w:rPr>
              <w:t>5.17</w:t>
            </w:r>
          </w:p>
        </w:tc>
        <w:tc>
          <w:tcPr>
            <w:tcW w:w="9922" w:type="dxa"/>
            <w:tcBorders>
              <w:top w:val="nil"/>
              <w:bottom w:val="nil"/>
            </w:tcBorders>
          </w:tcPr>
          <w:p w14:paraId="2926C29E" w14:textId="77777777" w:rsidR="008F783F" w:rsidRDefault="00C50093" w:rsidP="000641D0">
            <w:pPr>
              <w:spacing w:before="120" w:after="120"/>
              <w:jc w:val="both"/>
              <w:rPr>
                <w:rFonts w:cs="Arial"/>
                <w:b/>
                <w:sz w:val="20"/>
                <w:szCs w:val="20"/>
              </w:rPr>
            </w:pPr>
            <w:r w:rsidRPr="00C50093">
              <w:rPr>
                <w:rFonts w:cs="Arial"/>
                <w:b/>
                <w:sz w:val="20"/>
                <w:szCs w:val="20"/>
              </w:rPr>
              <w:t>IRG / AGS</w:t>
            </w:r>
          </w:p>
          <w:p w14:paraId="6EFA0278" w14:textId="3FCF6BFF" w:rsidR="00BD52CE" w:rsidRPr="00BD52CE" w:rsidRDefault="00C50093" w:rsidP="00E860AD">
            <w:pPr>
              <w:spacing w:before="120" w:after="120"/>
              <w:jc w:val="both"/>
              <w:rPr>
                <w:rFonts w:cs="Arial"/>
                <w:sz w:val="20"/>
                <w:szCs w:val="20"/>
              </w:rPr>
            </w:pPr>
            <w:r>
              <w:rPr>
                <w:rFonts w:cs="Arial"/>
                <w:sz w:val="20"/>
                <w:szCs w:val="20"/>
              </w:rPr>
              <w:t xml:space="preserve">A number of recommendations were agreed following the LGA Peer review and the S24 Notice issued by external audit, these were amalgamated and an Independent Review Group was formed to manage the progress and outcomes against those recommendations, there were 8 in total. </w:t>
            </w:r>
            <w:r w:rsidR="00E860AD">
              <w:rPr>
                <w:rFonts w:cs="Arial"/>
                <w:sz w:val="20"/>
                <w:szCs w:val="20"/>
              </w:rPr>
              <w:t xml:space="preserve">  It should be noted that the S24 Notice issued to SRBC was 1 of only 2 issued nationally.</w:t>
            </w:r>
          </w:p>
        </w:tc>
      </w:tr>
      <w:tr w:rsidR="00E860AD" w:rsidRPr="006A0EC0" w14:paraId="2A8E401A" w14:textId="77777777" w:rsidTr="00E860AD">
        <w:tc>
          <w:tcPr>
            <w:tcW w:w="851" w:type="dxa"/>
            <w:tcBorders>
              <w:top w:val="nil"/>
              <w:bottom w:val="single" w:sz="4" w:space="0" w:color="auto"/>
            </w:tcBorders>
          </w:tcPr>
          <w:p w14:paraId="1AB7EF7B" w14:textId="77777777" w:rsidR="00E860AD" w:rsidRDefault="00E860AD" w:rsidP="000641D0">
            <w:pPr>
              <w:spacing w:before="120" w:after="120"/>
              <w:jc w:val="center"/>
              <w:rPr>
                <w:sz w:val="20"/>
                <w:szCs w:val="20"/>
              </w:rPr>
            </w:pPr>
          </w:p>
        </w:tc>
        <w:tc>
          <w:tcPr>
            <w:tcW w:w="9922" w:type="dxa"/>
            <w:tcBorders>
              <w:top w:val="nil"/>
              <w:bottom w:val="single" w:sz="4" w:space="0" w:color="auto"/>
            </w:tcBorders>
          </w:tcPr>
          <w:p w14:paraId="1D6AF037" w14:textId="79FA17DA" w:rsidR="00E860AD" w:rsidRDefault="00E860AD" w:rsidP="00E860AD">
            <w:pPr>
              <w:spacing w:before="120" w:after="120"/>
              <w:jc w:val="both"/>
              <w:rPr>
                <w:rFonts w:cs="Arial"/>
                <w:sz w:val="20"/>
                <w:szCs w:val="20"/>
              </w:rPr>
            </w:pPr>
            <w:r>
              <w:rPr>
                <w:rFonts w:cs="Arial"/>
                <w:sz w:val="20"/>
                <w:szCs w:val="20"/>
              </w:rPr>
              <w:t xml:space="preserve">The IRG had been disbanded in February 2019 and a final outcome report provided to Cabinet, the review indicated that significant improvements had been made in regard to the findings of the LGA, however, this wording had been challenged as part of the discussion in respect of the AGS.  AN internal audit review confirmed that whilst LGA agreed that improvements had been made, as the actions had not been in place and embedded it was too soon to determine if significant improvements had been made to the culture of the </w:t>
            </w:r>
            <w:r>
              <w:rPr>
                <w:rFonts w:cs="Arial"/>
                <w:sz w:val="20"/>
                <w:szCs w:val="20"/>
              </w:rPr>
              <w:lastRenderedPageBreak/>
              <w:t>organisation.  Further a review of the status and progress of the 8 recommendations was undertaken and the following was identified:-</w:t>
            </w:r>
          </w:p>
        </w:tc>
      </w:tr>
      <w:tr w:rsidR="00A30F81" w:rsidRPr="006A0EC0" w14:paraId="25F9BE10" w14:textId="77777777" w:rsidTr="00E860AD">
        <w:tc>
          <w:tcPr>
            <w:tcW w:w="851" w:type="dxa"/>
            <w:tcBorders>
              <w:top w:val="single" w:sz="4" w:space="0" w:color="auto"/>
              <w:bottom w:val="nil"/>
            </w:tcBorders>
          </w:tcPr>
          <w:p w14:paraId="7B4D304B" w14:textId="7DD15466" w:rsidR="00A30F81" w:rsidRDefault="00A30F81" w:rsidP="000641D0">
            <w:pPr>
              <w:spacing w:before="120" w:after="120"/>
              <w:jc w:val="center"/>
              <w:rPr>
                <w:sz w:val="20"/>
                <w:szCs w:val="20"/>
              </w:rPr>
            </w:pPr>
          </w:p>
        </w:tc>
        <w:tc>
          <w:tcPr>
            <w:tcW w:w="9922" w:type="dxa"/>
            <w:tcBorders>
              <w:top w:val="single" w:sz="4" w:space="0" w:color="auto"/>
              <w:bottom w:val="nil"/>
            </w:tcBorders>
          </w:tcPr>
          <w:p w14:paraId="6E5DD5A8" w14:textId="77777777" w:rsidR="00E860AD" w:rsidRDefault="00E860AD" w:rsidP="00A30F81">
            <w:pPr>
              <w:pStyle w:val="ListParagraph"/>
              <w:numPr>
                <w:ilvl w:val="0"/>
                <w:numId w:val="18"/>
              </w:numPr>
              <w:spacing w:before="120" w:after="120"/>
              <w:ind w:left="395" w:hanging="395"/>
              <w:jc w:val="both"/>
              <w:rPr>
                <w:rFonts w:cs="Arial"/>
                <w:sz w:val="20"/>
                <w:szCs w:val="20"/>
              </w:rPr>
            </w:pPr>
            <w:r>
              <w:rPr>
                <w:rFonts w:cs="Arial"/>
                <w:sz w:val="20"/>
                <w:szCs w:val="20"/>
              </w:rPr>
              <w:t>Whilst the Chief Executive was not the Chair of the IRG at the time, the notes and record of the meetings were produced and provided to her to agree prior to being issued, this is not usual governance arrangements;</w:t>
            </w:r>
          </w:p>
          <w:p w14:paraId="3DF80D89" w14:textId="20DA83AC" w:rsidR="00A30F81" w:rsidRDefault="00A30F81" w:rsidP="00A30F81">
            <w:pPr>
              <w:pStyle w:val="ListParagraph"/>
              <w:numPr>
                <w:ilvl w:val="0"/>
                <w:numId w:val="18"/>
              </w:numPr>
              <w:spacing w:before="120" w:after="120"/>
              <w:ind w:left="395" w:hanging="395"/>
              <w:jc w:val="both"/>
              <w:rPr>
                <w:rFonts w:cs="Arial"/>
                <w:sz w:val="20"/>
                <w:szCs w:val="20"/>
              </w:rPr>
            </w:pPr>
            <w:r>
              <w:rPr>
                <w:rFonts w:cs="Arial"/>
                <w:sz w:val="20"/>
                <w:szCs w:val="20"/>
              </w:rPr>
              <w:t>Whilst there was evidence to support some actions had been fully or partially completed, there were still a number of actions outstanding, of the 8 recommendation, 7 were marked as complete, however, Internal Audit identified that only 2 had been fully completed and 5 had only been partially completed;</w:t>
            </w:r>
          </w:p>
          <w:p w14:paraId="702C051A" w14:textId="77777777" w:rsidR="00A30F81" w:rsidRDefault="00A30F81" w:rsidP="00A30F81">
            <w:pPr>
              <w:pStyle w:val="ListParagraph"/>
              <w:numPr>
                <w:ilvl w:val="0"/>
                <w:numId w:val="18"/>
              </w:numPr>
              <w:spacing w:before="120" w:after="120"/>
              <w:ind w:left="395" w:hanging="395"/>
              <w:jc w:val="both"/>
              <w:rPr>
                <w:rFonts w:cs="Arial"/>
                <w:sz w:val="20"/>
                <w:szCs w:val="20"/>
              </w:rPr>
            </w:pPr>
            <w:r>
              <w:rPr>
                <w:rFonts w:cs="Arial"/>
                <w:sz w:val="20"/>
                <w:szCs w:val="20"/>
              </w:rPr>
              <w:t>Members were not fully informed of all actions taken or the true position of the Council’s improvement and transformation journey;</w:t>
            </w:r>
          </w:p>
          <w:p w14:paraId="5B429FCF" w14:textId="50898A1D" w:rsidR="00A30F81" w:rsidRPr="00C50093" w:rsidRDefault="00A30F81" w:rsidP="00E860AD">
            <w:pPr>
              <w:pStyle w:val="ListParagraph"/>
              <w:numPr>
                <w:ilvl w:val="0"/>
                <w:numId w:val="18"/>
              </w:numPr>
              <w:spacing w:before="120" w:after="120"/>
              <w:ind w:left="395" w:hanging="395"/>
              <w:jc w:val="both"/>
              <w:rPr>
                <w:rFonts w:cs="Arial"/>
                <w:b/>
                <w:sz w:val="20"/>
                <w:szCs w:val="20"/>
              </w:rPr>
            </w:pPr>
            <w:r>
              <w:rPr>
                <w:rFonts w:cs="Arial"/>
                <w:sz w:val="20"/>
                <w:szCs w:val="20"/>
              </w:rPr>
              <w:t>The Internal Audit report reflected the LGA review that actions were not fully implemented or embedded and the actual position was not reflected in the minutes and not reported to Members.</w:t>
            </w:r>
          </w:p>
        </w:tc>
      </w:tr>
      <w:tr w:rsidR="008F783F" w:rsidRPr="006A0EC0" w14:paraId="3164A4A7" w14:textId="77777777" w:rsidTr="00A30F81">
        <w:tc>
          <w:tcPr>
            <w:tcW w:w="851" w:type="dxa"/>
            <w:tcBorders>
              <w:top w:val="nil"/>
              <w:bottom w:val="nil"/>
              <w:right w:val="single" w:sz="4" w:space="0" w:color="auto"/>
            </w:tcBorders>
          </w:tcPr>
          <w:p w14:paraId="3EF5588C" w14:textId="4D53ECC4" w:rsidR="008F783F" w:rsidRPr="00F31D31" w:rsidRDefault="00A30F81" w:rsidP="000641D0">
            <w:pPr>
              <w:spacing w:before="120" w:after="120"/>
              <w:jc w:val="center"/>
              <w:rPr>
                <w:sz w:val="20"/>
                <w:szCs w:val="20"/>
              </w:rPr>
            </w:pPr>
            <w:r>
              <w:rPr>
                <w:sz w:val="20"/>
                <w:szCs w:val="20"/>
              </w:rPr>
              <w:t>5.18</w:t>
            </w:r>
          </w:p>
        </w:tc>
        <w:tc>
          <w:tcPr>
            <w:tcW w:w="9922" w:type="dxa"/>
            <w:tcBorders>
              <w:top w:val="nil"/>
              <w:left w:val="single" w:sz="4" w:space="0" w:color="auto"/>
              <w:bottom w:val="nil"/>
            </w:tcBorders>
          </w:tcPr>
          <w:p w14:paraId="35782DC4" w14:textId="77777777" w:rsidR="008F783F" w:rsidRDefault="00BD52CE" w:rsidP="00236DD5">
            <w:pPr>
              <w:spacing w:before="120" w:after="120"/>
              <w:jc w:val="both"/>
              <w:rPr>
                <w:rFonts w:cs="Arial"/>
                <w:sz w:val="20"/>
                <w:szCs w:val="20"/>
              </w:rPr>
            </w:pPr>
            <w:r>
              <w:rPr>
                <w:rFonts w:cs="Arial"/>
                <w:b/>
                <w:sz w:val="20"/>
                <w:szCs w:val="20"/>
              </w:rPr>
              <w:t>Recruitment</w:t>
            </w:r>
            <w:r>
              <w:rPr>
                <w:rFonts w:cs="Arial"/>
                <w:b/>
                <w:sz w:val="20"/>
                <w:szCs w:val="20"/>
              </w:rPr>
              <w:br/>
            </w:r>
            <w:r>
              <w:rPr>
                <w:rFonts w:cs="Arial"/>
                <w:sz w:val="20"/>
                <w:szCs w:val="20"/>
              </w:rPr>
              <w:t>This review focused on compliance with the recruitment &amp; selection policy of the Council in relation to the appointment of a number of Leadership Team members and the creation of 2 new posts.  The following issues were identified;-</w:t>
            </w:r>
          </w:p>
          <w:p w14:paraId="060D9A8F" w14:textId="77777777" w:rsidR="00BD52CE" w:rsidRDefault="00D50E52" w:rsidP="00D50E52">
            <w:pPr>
              <w:pStyle w:val="ListParagraph"/>
              <w:numPr>
                <w:ilvl w:val="0"/>
                <w:numId w:val="19"/>
              </w:numPr>
              <w:spacing w:before="120" w:after="120"/>
              <w:ind w:left="395"/>
              <w:jc w:val="both"/>
              <w:rPr>
                <w:rFonts w:cs="Arial"/>
                <w:sz w:val="20"/>
                <w:szCs w:val="20"/>
              </w:rPr>
            </w:pPr>
            <w:r>
              <w:rPr>
                <w:rFonts w:cs="Arial"/>
                <w:sz w:val="20"/>
                <w:szCs w:val="20"/>
              </w:rPr>
              <w:t>2 senior roles created relating to roles included in the original Shared Services agreed arrangements, created for SRBC only;</w:t>
            </w:r>
          </w:p>
          <w:p w14:paraId="66FCF172" w14:textId="09E992C0" w:rsidR="00D50E52" w:rsidRDefault="00D50E52" w:rsidP="00D50E52">
            <w:pPr>
              <w:pStyle w:val="ListParagraph"/>
              <w:numPr>
                <w:ilvl w:val="0"/>
                <w:numId w:val="19"/>
              </w:numPr>
              <w:spacing w:before="120" w:after="120"/>
              <w:ind w:left="395"/>
              <w:jc w:val="both"/>
              <w:rPr>
                <w:rFonts w:cs="Arial"/>
                <w:sz w:val="20"/>
                <w:szCs w:val="20"/>
              </w:rPr>
            </w:pPr>
            <w:r>
              <w:rPr>
                <w:rFonts w:cs="Arial"/>
                <w:sz w:val="20"/>
                <w:szCs w:val="20"/>
              </w:rPr>
              <w:t>Breach of Constitution in relation to the creation of the roles, failure to include the detail  in the budget estimate, appointment to one of the posts prior to budget approval for the posts;</w:t>
            </w:r>
          </w:p>
          <w:p w14:paraId="60AF89BE" w14:textId="57DD5D5F" w:rsidR="00D50E52" w:rsidRDefault="00D50E52" w:rsidP="00D50E52">
            <w:pPr>
              <w:pStyle w:val="ListParagraph"/>
              <w:numPr>
                <w:ilvl w:val="0"/>
                <w:numId w:val="19"/>
              </w:numPr>
              <w:spacing w:before="120" w:after="120"/>
              <w:ind w:left="395"/>
              <w:jc w:val="both"/>
              <w:rPr>
                <w:rFonts w:cs="Arial"/>
                <w:sz w:val="20"/>
                <w:szCs w:val="20"/>
              </w:rPr>
            </w:pPr>
            <w:r>
              <w:rPr>
                <w:rFonts w:cs="Arial"/>
                <w:sz w:val="20"/>
                <w:szCs w:val="20"/>
              </w:rPr>
              <w:t>No proper approval or agreement in respect of the creation of the roles and the salary offered;</w:t>
            </w:r>
          </w:p>
          <w:p w14:paraId="6253F826" w14:textId="08458D14" w:rsidR="00D50E52" w:rsidRDefault="00D50E52" w:rsidP="00D50E52">
            <w:pPr>
              <w:pStyle w:val="ListParagraph"/>
              <w:numPr>
                <w:ilvl w:val="0"/>
                <w:numId w:val="19"/>
              </w:numPr>
              <w:spacing w:before="120" w:after="120"/>
              <w:ind w:left="395"/>
              <w:jc w:val="both"/>
              <w:rPr>
                <w:rFonts w:cs="Arial"/>
                <w:sz w:val="20"/>
                <w:szCs w:val="20"/>
              </w:rPr>
            </w:pPr>
            <w:r>
              <w:rPr>
                <w:rFonts w:cs="Arial"/>
                <w:sz w:val="20"/>
                <w:szCs w:val="20"/>
              </w:rPr>
              <w:t>Recruitment policy not complied with</w:t>
            </w:r>
            <w:r w:rsidR="00857093">
              <w:rPr>
                <w:rFonts w:cs="Arial"/>
                <w:sz w:val="20"/>
                <w:szCs w:val="20"/>
              </w:rPr>
              <w:t xml:space="preserve"> / process used not agreed or approved by Members</w:t>
            </w:r>
            <w:r>
              <w:rPr>
                <w:rFonts w:cs="Arial"/>
                <w:sz w:val="20"/>
                <w:szCs w:val="20"/>
              </w:rPr>
              <w:t>;</w:t>
            </w:r>
          </w:p>
          <w:p w14:paraId="3DB65B52" w14:textId="77777777" w:rsidR="00857093" w:rsidRDefault="00857093" w:rsidP="00D50E52">
            <w:pPr>
              <w:pStyle w:val="ListParagraph"/>
              <w:numPr>
                <w:ilvl w:val="0"/>
                <w:numId w:val="19"/>
              </w:numPr>
              <w:spacing w:before="120" w:after="120"/>
              <w:ind w:left="395"/>
              <w:jc w:val="both"/>
              <w:rPr>
                <w:rFonts w:cs="Arial"/>
                <w:sz w:val="20"/>
                <w:szCs w:val="20"/>
              </w:rPr>
            </w:pPr>
            <w:r>
              <w:rPr>
                <w:rFonts w:cs="Arial"/>
                <w:sz w:val="20"/>
                <w:szCs w:val="20"/>
              </w:rPr>
              <w:t>External Officers misinformed</w:t>
            </w:r>
          </w:p>
          <w:p w14:paraId="25B8DFFC" w14:textId="77777777" w:rsidR="00857093" w:rsidRDefault="00857093" w:rsidP="00D50E52">
            <w:pPr>
              <w:pStyle w:val="ListParagraph"/>
              <w:numPr>
                <w:ilvl w:val="0"/>
                <w:numId w:val="19"/>
              </w:numPr>
              <w:spacing w:before="120" w:after="120"/>
              <w:ind w:left="395"/>
              <w:jc w:val="both"/>
              <w:rPr>
                <w:rFonts w:cs="Arial"/>
                <w:sz w:val="20"/>
                <w:szCs w:val="20"/>
              </w:rPr>
            </w:pPr>
            <w:r>
              <w:rPr>
                <w:rFonts w:cs="Arial"/>
                <w:sz w:val="20"/>
                <w:szCs w:val="20"/>
              </w:rPr>
              <w:t>Potential allegation of misleading / misinforming officers and members;</w:t>
            </w:r>
          </w:p>
          <w:p w14:paraId="70C54658" w14:textId="16A6F05B" w:rsidR="00D50E52" w:rsidRDefault="00857093" w:rsidP="00D50E52">
            <w:pPr>
              <w:pStyle w:val="ListParagraph"/>
              <w:numPr>
                <w:ilvl w:val="0"/>
                <w:numId w:val="19"/>
              </w:numPr>
              <w:spacing w:before="120" w:after="120"/>
              <w:ind w:left="395"/>
              <w:jc w:val="both"/>
              <w:rPr>
                <w:rFonts w:cs="Arial"/>
                <w:sz w:val="20"/>
                <w:szCs w:val="20"/>
              </w:rPr>
            </w:pPr>
            <w:r>
              <w:rPr>
                <w:rFonts w:cs="Arial"/>
                <w:sz w:val="20"/>
                <w:szCs w:val="20"/>
              </w:rPr>
              <w:t>Potential failure to follow appropriate procedures relating to Statutory Officer appointment;</w:t>
            </w:r>
          </w:p>
          <w:p w14:paraId="1D5F8DF4" w14:textId="77777777" w:rsidR="00857093" w:rsidRDefault="00857093" w:rsidP="00D50E52">
            <w:pPr>
              <w:pStyle w:val="ListParagraph"/>
              <w:numPr>
                <w:ilvl w:val="0"/>
                <w:numId w:val="19"/>
              </w:numPr>
              <w:spacing w:before="120" w:after="120"/>
              <w:ind w:left="395"/>
              <w:jc w:val="both"/>
              <w:rPr>
                <w:rFonts w:cs="Arial"/>
                <w:sz w:val="20"/>
                <w:szCs w:val="20"/>
              </w:rPr>
            </w:pPr>
            <w:r>
              <w:rPr>
                <w:rFonts w:cs="Arial"/>
                <w:sz w:val="20"/>
                <w:szCs w:val="20"/>
              </w:rPr>
              <w:t>Failure to comply with Pay Policy;</w:t>
            </w:r>
          </w:p>
          <w:p w14:paraId="1E9A469E" w14:textId="5EF554C8" w:rsidR="00857093" w:rsidRDefault="00857093" w:rsidP="00D50E52">
            <w:pPr>
              <w:pStyle w:val="ListParagraph"/>
              <w:numPr>
                <w:ilvl w:val="0"/>
                <w:numId w:val="19"/>
              </w:numPr>
              <w:spacing w:before="120" w:after="120"/>
              <w:ind w:left="395"/>
              <w:jc w:val="both"/>
              <w:rPr>
                <w:rFonts w:cs="Arial"/>
                <w:sz w:val="20"/>
                <w:szCs w:val="20"/>
              </w:rPr>
            </w:pPr>
            <w:r>
              <w:rPr>
                <w:rFonts w:cs="Arial"/>
                <w:sz w:val="20"/>
                <w:szCs w:val="20"/>
              </w:rPr>
              <w:t>No evidence to support procurement / commissioning of supplier to aid in recruitment, failure to include HR in process relating to several officers;</w:t>
            </w:r>
          </w:p>
          <w:p w14:paraId="04C2639D" w14:textId="7F9FAAEA" w:rsidR="00857093" w:rsidRDefault="00857093" w:rsidP="00D50E52">
            <w:pPr>
              <w:pStyle w:val="ListParagraph"/>
              <w:numPr>
                <w:ilvl w:val="0"/>
                <w:numId w:val="19"/>
              </w:numPr>
              <w:spacing w:before="120" w:after="120"/>
              <w:ind w:left="395"/>
              <w:jc w:val="both"/>
              <w:rPr>
                <w:rFonts w:cs="Arial"/>
                <w:sz w:val="20"/>
                <w:szCs w:val="20"/>
              </w:rPr>
            </w:pPr>
            <w:r>
              <w:rPr>
                <w:rFonts w:cs="Arial"/>
                <w:sz w:val="20"/>
                <w:szCs w:val="20"/>
              </w:rPr>
              <w:t>No evidence retained to support the resulting appointee, officers who met criteria, not shortlisted – no evidence to support decision, only 1 applicant for each role selected, both from previous Deputy CE’s previous employing authority, one a close friend of S151 officer.</w:t>
            </w:r>
          </w:p>
          <w:p w14:paraId="72299C74" w14:textId="3C4E4564" w:rsidR="00857093" w:rsidRDefault="00857093" w:rsidP="00D50E52">
            <w:pPr>
              <w:pStyle w:val="ListParagraph"/>
              <w:numPr>
                <w:ilvl w:val="0"/>
                <w:numId w:val="19"/>
              </w:numPr>
              <w:spacing w:before="120" w:after="120"/>
              <w:ind w:left="395"/>
              <w:jc w:val="both"/>
              <w:rPr>
                <w:rFonts w:cs="Arial"/>
                <w:sz w:val="20"/>
                <w:szCs w:val="20"/>
              </w:rPr>
            </w:pPr>
            <w:r>
              <w:rPr>
                <w:rFonts w:cs="Arial"/>
                <w:sz w:val="20"/>
                <w:szCs w:val="20"/>
              </w:rPr>
              <w:t>Other recruitment exercises, no evidence retained to support decision making;</w:t>
            </w:r>
          </w:p>
          <w:p w14:paraId="21C8EBD1" w14:textId="77777777" w:rsidR="00857093" w:rsidRDefault="00857093" w:rsidP="00D50E52">
            <w:pPr>
              <w:pStyle w:val="ListParagraph"/>
              <w:numPr>
                <w:ilvl w:val="0"/>
                <w:numId w:val="19"/>
              </w:numPr>
              <w:spacing w:before="120" w:after="120"/>
              <w:ind w:left="395"/>
              <w:jc w:val="both"/>
              <w:rPr>
                <w:rFonts w:cs="Arial"/>
                <w:sz w:val="20"/>
                <w:szCs w:val="20"/>
              </w:rPr>
            </w:pPr>
            <w:r>
              <w:rPr>
                <w:rFonts w:cs="Arial"/>
                <w:sz w:val="20"/>
                <w:szCs w:val="20"/>
              </w:rPr>
              <w:t>Minor changes in designations of post without recourse to Members who had agreed original structure;</w:t>
            </w:r>
          </w:p>
          <w:p w14:paraId="6552B7DE" w14:textId="450D4A2A" w:rsidR="00BD52CE" w:rsidRPr="00BD52CE" w:rsidRDefault="00857093" w:rsidP="00857093">
            <w:pPr>
              <w:pStyle w:val="ListParagraph"/>
              <w:numPr>
                <w:ilvl w:val="0"/>
                <w:numId w:val="19"/>
              </w:numPr>
              <w:spacing w:before="120" w:after="120"/>
              <w:ind w:left="395"/>
              <w:jc w:val="both"/>
              <w:rPr>
                <w:rFonts w:cs="Arial"/>
                <w:sz w:val="20"/>
                <w:szCs w:val="20"/>
              </w:rPr>
            </w:pPr>
            <w:r>
              <w:rPr>
                <w:rFonts w:cs="Arial"/>
                <w:sz w:val="20"/>
                <w:szCs w:val="20"/>
              </w:rPr>
              <w:t>Potential breach of Data Protection as no agreement in place in regard to sharing data with third party supplier.</w:t>
            </w:r>
          </w:p>
        </w:tc>
      </w:tr>
      <w:tr w:rsidR="000641D0" w:rsidRPr="006A0EC0" w14:paraId="47D4AC72" w14:textId="77777777" w:rsidTr="00A30F81">
        <w:tc>
          <w:tcPr>
            <w:tcW w:w="851" w:type="dxa"/>
            <w:tcBorders>
              <w:top w:val="nil"/>
              <w:bottom w:val="nil"/>
              <w:right w:val="single" w:sz="4" w:space="0" w:color="auto"/>
            </w:tcBorders>
          </w:tcPr>
          <w:p w14:paraId="2660DABA" w14:textId="7C8009BC" w:rsidR="000641D0" w:rsidRPr="00F31D31" w:rsidRDefault="00A30F81" w:rsidP="000641D0">
            <w:pPr>
              <w:spacing w:before="120" w:after="120"/>
              <w:jc w:val="center"/>
              <w:rPr>
                <w:sz w:val="20"/>
                <w:szCs w:val="20"/>
              </w:rPr>
            </w:pPr>
            <w:r>
              <w:rPr>
                <w:sz w:val="20"/>
                <w:szCs w:val="20"/>
              </w:rPr>
              <w:t>5.19</w:t>
            </w:r>
          </w:p>
        </w:tc>
        <w:tc>
          <w:tcPr>
            <w:tcW w:w="9922" w:type="dxa"/>
            <w:tcBorders>
              <w:top w:val="nil"/>
              <w:left w:val="single" w:sz="4" w:space="0" w:color="auto"/>
              <w:bottom w:val="nil"/>
            </w:tcBorders>
          </w:tcPr>
          <w:p w14:paraId="17C8EF3D" w14:textId="77777777" w:rsidR="000641D0" w:rsidRDefault="00857093" w:rsidP="00236DD5">
            <w:pPr>
              <w:spacing w:before="120" w:after="120"/>
              <w:jc w:val="both"/>
              <w:rPr>
                <w:rFonts w:cs="Arial"/>
                <w:sz w:val="20"/>
                <w:szCs w:val="20"/>
              </w:rPr>
            </w:pPr>
            <w:r w:rsidRPr="00857093">
              <w:rPr>
                <w:rFonts w:cs="Arial"/>
                <w:b/>
                <w:sz w:val="20"/>
                <w:szCs w:val="20"/>
              </w:rPr>
              <w:t>Compliance with Council Financial Policies, Procedures, Rules &amp; Regulations – compliance with policies and adherence to rules etc</w:t>
            </w:r>
            <w:r>
              <w:rPr>
                <w:rFonts w:cs="Arial"/>
                <w:b/>
                <w:sz w:val="20"/>
                <w:szCs w:val="20"/>
              </w:rPr>
              <w:t>.</w:t>
            </w:r>
          </w:p>
          <w:p w14:paraId="565BB226" w14:textId="77777777" w:rsidR="00857093" w:rsidRDefault="00011E93" w:rsidP="00236DD5">
            <w:pPr>
              <w:spacing w:before="120" w:after="120"/>
              <w:jc w:val="both"/>
              <w:rPr>
                <w:rFonts w:cs="Arial"/>
                <w:sz w:val="20"/>
                <w:szCs w:val="20"/>
              </w:rPr>
            </w:pPr>
            <w:r>
              <w:rPr>
                <w:rFonts w:cs="Arial"/>
                <w:sz w:val="20"/>
                <w:szCs w:val="20"/>
              </w:rPr>
              <w:t>This review focused on compliance with financial policies and rules etc. of the Council.  The review identified:-</w:t>
            </w:r>
          </w:p>
          <w:p w14:paraId="68E09987" w14:textId="6EE3C3A8" w:rsidR="00011E93" w:rsidRDefault="00011E93" w:rsidP="00011E93">
            <w:pPr>
              <w:pStyle w:val="ListParagraph"/>
              <w:numPr>
                <w:ilvl w:val="0"/>
                <w:numId w:val="20"/>
              </w:numPr>
              <w:spacing w:before="120" w:after="120"/>
              <w:ind w:left="395"/>
              <w:jc w:val="both"/>
              <w:rPr>
                <w:rFonts w:cs="Arial"/>
                <w:sz w:val="20"/>
                <w:szCs w:val="20"/>
              </w:rPr>
            </w:pPr>
            <w:r>
              <w:rPr>
                <w:rFonts w:cs="Arial"/>
                <w:sz w:val="20"/>
                <w:szCs w:val="20"/>
              </w:rPr>
              <w:t>Failure to demonstrate value for money in the procurement of suppliers, lack of evidence to support choice of supplier, lack of agreed evaluation criteria to evaluate against;</w:t>
            </w:r>
          </w:p>
          <w:p w14:paraId="387F5A8B" w14:textId="77777777" w:rsidR="00011E93" w:rsidRDefault="00011E93" w:rsidP="00011E93">
            <w:pPr>
              <w:pStyle w:val="ListParagraph"/>
              <w:numPr>
                <w:ilvl w:val="0"/>
                <w:numId w:val="20"/>
              </w:numPr>
              <w:spacing w:before="120" w:after="120"/>
              <w:ind w:left="395"/>
              <w:jc w:val="both"/>
              <w:rPr>
                <w:rFonts w:cs="Arial"/>
                <w:sz w:val="20"/>
                <w:szCs w:val="20"/>
              </w:rPr>
            </w:pPr>
            <w:r>
              <w:rPr>
                <w:rFonts w:cs="Arial"/>
                <w:sz w:val="20"/>
                <w:szCs w:val="20"/>
              </w:rPr>
              <w:t>Breaches of Contract Procedure Rules, Financial Procedure Rules and Key Decision process of the Council;</w:t>
            </w:r>
          </w:p>
          <w:p w14:paraId="53719727" w14:textId="77777777" w:rsidR="00011E93" w:rsidRDefault="00011E93" w:rsidP="00011E93">
            <w:pPr>
              <w:pStyle w:val="ListParagraph"/>
              <w:numPr>
                <w:ilvl w:val="0"/>
                <w:numId w:val="20"/>
              </w:numPr>
              <w:spacing w:before="120" w:after="120"/>
              <w:ind w:left="395"/>
              <w:jc w:val="both"/>
              <w:rPr>
                <w:rFonts w:cs="Arial"/>
                <w:sz w:val="20"/>
                <w:szCs w:val="20"/>
              </w:rPr>
            </w:pPr>
            <w:r>
              <w:rPr>
                <w:rFonts w:cs="Arial"/>
                <w:sz w:val="20"/>
                <w:szCs w:val="20"/>
              </w:rPr>
              <w:t>Failure to provide evidence of work completed to support amounts invoiced, unable to determine if provision of service provided best value for the Council;</w:t>
            </w:r>
          </w:p>
          <w:p w14:paraId="40B7B9DB" w14:textId="2BF100A3" w:rsidR="00011E93" w:rsidRDefault="00011E93" w:rsidP="00011E93">
            <w:pPr>
              <w:pStyle w:val="ListParagraph"/>
              <w:numPr>
                <w:ilvl w:val="0"/>
                <w:numId w:val="20"/>
              </w:numPr>
              <w:spacing w:before="120" w:after="120"/>
              <w:ind w:left="395"/>
              <w:jc w:val="both"/>
              <w:rPr>
                <w:rFonts w:cs="Arial"/>
                <w:sz w:val="20"/>
                <w:szCs w:val="20"/>
              </w:rPr>
            </w:pPr>
            <w:r>
              <w:rPr>
                <w:rFonts w:cs="Arial"/>
                <w:sz w:val="20"/>
                <w:szCs w:val="20"/>
              </w:rPr>
              <w:t>Failure to follow prescribed electronic waiver process and approval process and obtain MO sign off;</w:t>
            </w:r>
          </w:p>
          <w:p w14:paraId="3D1598CA" w14:textId="77777777" w:rsidR="00011E93" w:rsidRDefault="00011E93" w:rsidP="00011E93">
            <w:pPr>
              <w:pStyle w:val="ListParagraph"/>
              <w:numPr>
                <w:ilvl w:val="0"/>
                <w:numId w:val="20"/>
              </w:numPr>
              <w:spacing w:before="120" w:after="120"/>
              <w:ind w:left="395"/>
              <w:jc w:val="both"/>
              <w:rPr>
                <w:rFonts w:cs="Arial"/>
                <w:sz w:val="20"/>
                <w:szCs w:val="20"/>
              </w:rPr>
            </w:pPr>
            <w:r>
              <w:rPr>
                <w:rFonts w:cs="Arial"/>
                <w:sz w:val="20"/>
                <w:szCs w:val="20"/>
              </w:rPr>
              <w:t>Work undertaken outside of original scope;</w:t>
            </w:r>
          </w:p>
          <w:p w14:paraId="57B22A82" w14:textId="77777777" w:rsidR="00011E93" w:rsidRDefault="00011E93" w:rsidP="00011E93">
            <w:pPr>
              <w:pStyle w:val="ListParagraph"/>
              <w:numPr>
                <w:ilvl w:val="0"/>
                <w:numId w:val="20"/>
              </w:numPr>
              <w:spacing w:before="120" w:after="120"/>
              <w:ind w:left="395"/>
              <w:jc w:val="both"/>
              <w:rPr>
                <w:rFonts w:cs="Arial"/>
                <w:sz w:val="20"/>
                <w:szCs w:val="20"/>
              </w:rPr>
            </w:pPr>
            <w:r>
              <w:rPr>
                <w:rFonts w:cs="Arial"/>
                <w:sz w:val="20"/>
                <w:szCs w:val="20"/>
              </w:rPr>
              <w:t>Attempt to circumvent the Financial Procedure Rules by a Statutory Officer of the Council;</w:t>
            </w:r>
          </w:p>
          <w:p w14:paraId="6CB3C68B" w14:textId="775E6A7F" w:rsidR="00011E93" w:rsidRPr="00011E93" w:rsidRDefault="00011E93" w:rsidP="00712DC7">
            <w:pPr>
              <w:pStyle w:val="ListParagraph"/>
              <w:numPr>
                <w:ilvl w:val="0"/>
                <w:numId w:val="20"/>
              </w:numPr>
              <w:spacing w:before="120" w:after="120"/>
              <w:ind w:left="395"/>
              <w:jc w:val="both"/>
              <w:rPr>
                <w:rFonts w:cs="Arial"/>
                <w:sz w:val="20"/>
                <w:szCs w:val="20"/>
              </w:rPr>
            </w:pPr>
            <w:r>
              <w:rPr>
                <w:rFonts w:cs="Arial"/>
                <w:sz w:val="20"/>
                <w:szCs w:val="20"/>
              </w:rPr>
              <w:t>No signed agreements between parties in some instances, failure to sign Data Sharing agreements, no review of liability insurance in relation to work to be undertaken, unable to confirm that suppliers held sufficient liability cover in the event of claims for damages etc.</w:t>
            </w:r>
          </w:p>
        </w:tc>
      </w:tr>
      <w:tr w:rsidR="000641D0" w:rsidRPr="006A0EC0" w14:paraId="7859EED6" w14:textId="77777777" w:rsidTr="00A30F81">
        <w:tc>
          <w:tcPr>
            <w:tcW w:w="851" w:type="dxa"/>
            <w:tcBorders>
              <w:top w:val="nil"/>
              <w:bottom w:val="single" w:sz="4" w:space="0" w:color="auto"/>
            </w:tcBorders>
          </w:tcPr>
          <w:p w14:paraId="619B1394" w14:textId="14C04221" w:rsidR="000641D0" w:rsidRPr="00F31D31" w:rsidRDefault="00A30F81" w:rsidP="000641D0">
            <w:pPr>
              <w:spacing w:before="120" w:after="120"/>
              <w:jc w:val="center"/>
              <w:rPr>
                <w:sz w:val="20"/>
                <w:szCs w:val="20"/>
              </w:rPr>
            </w:pPr>
            <w:r>
              <w:rPr>
                <w:sz w:val="20"/>
                <w:szCs w:val="20"/>
              </w:rPr>
              <w:t>5.20</w:t>
            </w:r>
          </w:p>
        </w:tc>
        <w:tc>
          <w:tcPr>
            <w:tcW w:w="9922" w:type="dxa"/>
            <w:tcBorders>
              <w:top w:val="nil"/>
              <w:bottom w:val="single" w:sz="4" w:space="0" w:color="auto"/>
            </w:tcBorders>
          </w:tcPr>
          <w:p w14:paraId="6C965EAD" w14:textId="77777777" w:rsidR="000641D0" w:rsidRDefault="00712DC7" w:rsidP="000641D0">
            <w:pPr>
              <w:spacing w:before="120" w:after="120"/>
              <w:jc w:val="both"/>
              <w:rPr>
                <w:rFonts w:cs="Arial"/>
                <w:sz w:val="20"/>
                <w:szCs w:val="20"/>
              </w:rPr>
            </w:pPr>
            <w:r w:rsidRPr="00712DC7">
              <w:rPr>
                <w:rFonts w:cs="Arial"/>
                <w:b/>
                <w:sz w:val="20"/>
                <w:szCs w:val="20"/>
              </w:rPr>
              <w:t>Compliance with Capability Policy – compliance with Policies relation to HR capability procedure</w:t>
            </w:r>
          </w:p>
          <w:p w14:paraId="193B990D" w14:textId="77777777" w:rsidR="00712DC7" w:rsidRDefault="00712DC7" w:rsidP="000641D0">
            <w:pPr>
              <w:spacing w:before="120" w:after="120"/>
              <w:jc w:val="both"/>
              <w:rPr>
                <w:rFonts w:cs="Arial"/>
                <w:sz w:val="20"/>
                <w:szCs w:val="20"/>
              </w:rPr>
            </w:pPr>
            <w:r>
              <w:rPr>
                <w:rFonts w:cs="Arial"/>
                <w:sz w:val="20"/>
                <w:szCs w:val="20"/>
              </w:rPr>
              <w:t>This review focused on the compliance with the Council’s HR Policy relating to Capability by the 3 Senior Officers of the Council.  The findings of the review included the following:-</w:t>
            </w:r>
          </w:p>
          <w:p w14:paraId="11FE4713" w14:textId="707FEA8C" w:rsidR="00712DC7" w:rsidRDefault="00712DC7" w:rsidP="00712DC7">
            <w:pPr>
              <w:pStyle w:val="ListParagraph"/>
              <w:numPr>
                <w:ilvl w:val="0"/>
                <w:numId w:val="21"/>
              </w:numPr>
              <w:spacing w:before="120" w:after="120"/>
              <w:ind w:left="395"/>
              <w:jc w:val="both"/>
              <w:rPr>
                <w:rFonts w:cs="Arial"/>
                <w:sz w:val="20"/>
                <w:szCs w:val="20"/>
              </w:rPr>
            </w:pPr>
            <w:r>
              <w:rPr>
                <w:rFonts w:cs="Arial"/>
                <w:sz w:val="20"/>
                <w:szCs w:val="20"/>
              </w:rPr>
              <w:t>Failure to support officers during probationary / trial / development period as agreed by the appointment letters;</w:t>
            </w:r>
          </w:p>
          <w:p w14:paraId="7655EB3A" w14:textId="2519CC62" w:rsidR="00712DC7" w:rsidRDefault="00513DCF" w:rsidP="00712DC7">
            <w:pPr>
              <w:pStyle w:val="ListParagraph"/>
              <w:numPr>
                <w:ilvl w:val="0"/>
                <w:numId w:val="21"/>
              </w:numPr>
              <w:spacing w:before="120" w:after="120"/>
              <w:ind w:left="395"/>
              <w:jc w:val="both"/>
              <w:rPr>
                <w:rFonts w:cs="Arial"/>
                <w:sz w:val="20"/>
                <w:szCs w:val="20"/>
              </w:rPr>
            </w:pPr>
            <w:r>
              <w:rPr>
                <w:rFonts w:cs="Arial"/>
                <w:sz w:val="20"/>
                <w:szCs w:val="20"/>
              </w:rPr>
              <w:t>Intent to disregard external legal advice</w:t>
            </w:r>
          </w:p>
          <w:p w14:paraId="54A97C67" w14:textId="2CB917EC" w:rsidR="00712DC7" w:rsidRDefault="00712DC7" w:rsidP="00712DC7">
            <w:pPr>
              <w:pStyle w:val="ListParagraph"/>
              <w:numPr>
                <w:ilvl w:val="0"/>
                <w:numId w:val="21"/>
              </w:numPr>
              <w:spacing w:before="120" w:after="120"/>
              <w:ind w:left="395"/>
              <w:jc w:val="both"/>
              <w:rPr>
                <w:rFonts w:cs="Arial"/>
                <w:sz w:val="20"/>
                <w:szCs w:val="20"/>
              </w:rPr>
            </w:pPr>
            <w:r>
              <w:rPr>
                <w:rFonts w:cs="Arial"/>
                <w:sz w:val="20"/>
                <w:szCs w:val="20"/>
              </w:rPr>
              <w:lastRenderedPageBreak/>
              <w:t xml:space="preserve">Development review process </w:t>
            </w:r>
            <w:r w:rsidR="00513DCF">
              <w:rPr>
                <w:rFonts w:cs="Arial"/>
                <w:sz w:val="20"/>
                <w:szCs w:val="20"/>
              </w:rPr>
              <w:t xml:space="preserve">utilised by DCE’s was a process provided by a third party supplier, this had not been discussed and agreed by HR and / or Leadership Team and not presented to Members, yet </w:t>
            </w:r>
            <w:r>
              <w:rPr>
                <w:rFonts w:cs="Arial"/>
                <w:sz w:val="20"/>
                <w:szCs w:val="20"/>
              </w:rPr>
              <w:t xml:space="preserve">used to undertake </w:t>
            </w:r>
            <w:r w:rsidR="00513DCF">
              <w:rPr>
                <w:rFonts w:cs="Arial"/>
                <w:sz w:val="20"/>
                <w:szCs w:val="20"/>
              </w:rPr>
              <w:t xml:space="preserve">some of the </w:t>
            </w:r>
            <w:r>
              <w:rPr>
                <w:rFonts w:cs="Arial"/>
                <w:sz w:val="20"/>
                <w:szCs w:val="20"/>
              </w:rPr>
              <w:t>Leadership Development Reviews;</w:t>
            </w:r>
          </w:p>
          <w:p w14:paraId="154AF9B2" w14:textId="4AC58AD5" w:rsidR="00712DC7" w:rsidRPr="00712DC7" w:rsidRDefault="00712DC7" w:rsidP="00B940D8">
            <w:pPr>
              <w:pStyle w:val="ListParagraph"/>
              <w:numPr>
                <w:ilvl w:val="0"/>
                <w:numId w:val="21"/>
              </w:numPr>
              <w:spacing w:before="120" w:after="120"/>
              <w:ind w:left="395"/>
              <w:jc w:val="both"/>
              <w:rPr>
                <w:rFonts w:cs="Arial"/>
                <w:sz w:val="20"/>
                <w:szCs w:val="20"/>
              </w:rPr>
            </w:pPr>
            <w:r>
              <w:rPr>
                <w:rFonts w:cs="Arial"/>
                <w:sz w:val="20"/>
                <w:szCs w:val="20"/>
              </w:rPr>
              <w:t>Inconsistency of approach dependent on officer, some officers not being treated fairly or equitably;</w:t>
            </w:r>
          </w:p>
        </w:tc>
      </w:tr>
      <w:tr w:rsidR="00A30F81" w:rsidRPr="006A0EC0" w14:paraId="10CD6355" w14:textId="77777777" w:rsidTr="00A30F81">
        <w:tc>
          <w:tcPr>
            <w:tcW w:w="851" w:type="dxa"/>
            <w:tcBorders>
              <w:top w:val="single" w:sz="4" w:space="0" w:color="auto"/>
              <w:bottom w:val="nil"/>
            </w:tcBorders>
          </w:tcPr>
          <w:p w14:paraId="1597E62E" w14:textId="77777777" w:rsidR="00A30F81" w:rsidRDefault="00A30F81" w:rsidP="000641D0">
            <w:pPr>
              <w:spacing w:before="120" w:after="120"/>
              <w:jc w:val="center"/>
              <w:rPr>
                <w:sz w:val="20"/>
                <w:szCs w:val="20"/>
              </w:rPr>
            </w:pPr>
          </w:p>
        </w:tc>
        <w:tc>
          <w:tcPr>
            <w:tcW w:w="9922" w:type="dxa"/>
            <w:tcBorders>
              <w:top w:val="single" w:sz="4" w:space="0" w:color="auto"/>
              <w:bottom w:val="nil"/>
            </w:tcBorders>
          </w:tcPr>
          <w:p w14:paraId="176BD936" w14:textId="77777777" w:rsidR="00B940D8" w:rsidRDefault="00B940D8" w:rsidP="00A30F81">
            <w:pPr>
              <w:pStyle w:val="ListParagraph"/>
              <w:numPr>
                <w:ilvl w:val="0"/>
                <w:numId w:val="21"/>
              </w:numPr>
              <w:spacing w:before="120" w:after="120"/>
              <w:ind w:left="395"/>
              <w:jc w:val="both"/>
              <w:rPr>
                <w:rFonts w:cs="Arial"/>
                <w:sz w:val="20"/>
                <w:szCs w:val="20"/>
              </w:rPr>
            </w:pPr>
            <w:r>
              <w:rPr>
                <w:rFonts w:cs="Arial"/>
                <w:sz w:val="20"/>
                <w:szCs w:val="20"/>
              </w:rPr>
              <w:t>Development review process changed part way through to capability process;</w:t>
            </w:r>
          </w:p>
          <w:p w14:paraId="04A70D0C" w14:textId="1F789934" w:rsidR="00A30F81" w:rsidRDefault="00A30F81" w:rsidP="00A30F81">
            <w:pPr>
              <w:pStyle w:val="ListParagraph"/>
              <w:numPr>
                <w:ilvl w:val="0"/>
                <w:numId w:val="21"/>
              </w:numPr>
              <w:spacing w:before="120" w:after="120"/>
              <w:ind w:left="395"/>
              <w:jc w:val="both"/>
              <w:rPr>
                <w:rFonts w:cs="Arial"/>
                <w:sz w:val="20"/>
                <w:szCs w:val="20"/>
              </w:rPr>
            </w:pPr>
            <w:r>
              <w:rPr>
                <w:rFonts w:cs="Arial"/>
                <w:sz w:val="20"/>
                <w:szCs w:val="20"/>
              </w:rPr>
              <w:t>Failure to undertake an internal independent review of complaints prior to sending for external opinion, internal processes not exhausted, Internal Audit not reviewed;</w:t>
            </w:r>
          </w:p>
          <w:p w14:paraId="17AC3A69" w14:textId="77777777" w:rsidR="00A30F81" w:rsidRDefault="00A30F81" w:rsidP="00A30F81">
            <w:pPr>
              <w:pStyle w:val="ListParagraph"/>
              <w:numPr>
                <w:ilvl w:val="0"/>
                <w:numId w:val="21"/>
              </w:numPr>
              <w:spacing w:before="120" w:after="120"/>
              <w:ind w:left="395"/>
              <w:jc w:val="both"/>
              <w:rPr>
                <w:rFonts w:cs="Arial"/>
                <w:sz w:val="20"/>
                <w:szCs w:val="20"/>
              </w:rPr>
            </w:pPr>
            <w:r>
              <w:rPr>
                <w:rFonts w:cs="Arial"/>
                <w:sz w:val="20"/>
                <w:szCs w:val="20"/>
              </w:rPr>
              <w:t>No justification for appointing third party to review complaints;</w:t>
            </w:r>
          </w:p>
          <w:p w14:paraId="7F6640B5" w14:textId="454998B3" w:rsidR="00A30F81" w:rsidRDefault="00A30F81" w:rsidP="00A30F81">
            <w:pPr>
              <w:spacing w:before="120" w:after="120"/>
              <w:jc w:val="both"/>
              <w:rPr>
                <w:rFonts w:cs="Arial"/>
                <w:sz w:val="20"/>
                <w:szCs w:val="20"/>
              </w:rPr>
            </w:pPr>
            <w:r>
              <w:rPr>
                <w:rFonts w:cs="Arial"/>
                <w:sz w:val="20"/>
                <w:szCs w:val="20"/>
              </w:rPr>
              <w:t>Failure to follow capability process.</w:t>
            </w:r>
          </w:p>
        </w:tc>
      </w:tr>
      <w:tr w:rsidR="000641D0" w:rsidRPr="006A0EC0" w14:paraId="39686376" w14:textId="77777777" w:rsidTr="00236DD5">
        <w:tc>
          <w:tcPr>
            <w:tcW w:w="851" w:type="dxa"/>
            <w:tcBorders>
              <w:top w:val="nil"/>
              <w:bottom w:val="nil"/>
            </w:tcBorders>
          </w:tcPr>
          <w:p w14:paraId="03E02618" w14:textId="084ECE6F" w:rsidR="000641D0" w:rsidRPr="00F31D31" w:rsidRDefault="00A30F81" w:rsidP="000641D0">
            <w:pPr>
              <w:spacing w:before="120" w:after="120"/>
              <w:jc w:val="center"/>
              <w:rPr>
                <w:sz w:val="20"/>
                <w:szCs w:val="20"/>
              </w:rPr>
            </w:pPr>
            <w:r>
              <w:rPr>
                <w:sz w:val="20"/>
                <w:szCs w:val="20"/>
              </w:rPr>
              <w:t>5.21</w:t>
            </w:r>
          </w:p>
        </w:tc>
        <w:tc>
          <w:tcPr>
            <w:tcW w:w="9922" w:type="dxa"/>
            <w:tcBorders>
              <w:top w:val="nil"/>
              <w:bottom w:val="nil"/>
            </w:tcBorders>
          </w:tcPr>
          <w:p w14:paraId="492206B7" w14:textId="117C0B58" w:rsidR="000641D0" w:rsidRPr="002C089B" w:rsidRDefault="005605F2" w:rsidP="005605F2">
            <w:pPr>
              <w:spacing w:before="120" w:after="120"/>
              <w:jc w:val="both"/>
              <w:rPr>
                <w:rFonts w:cs="Arial"/>
                <w:sz w:val="20"/>
                <w:szCs w:val="20"/>
              </w:rPr>
            </w:pPr>
            <w:r>
              <w:rPr>
                <w:rFonts w:cs="Arial"/>
                <w:sz w:val="20"/>
                <w:szCs w:val="20"/>
              </w:rPr>
              <w:t>It is clear from the findings within these reports that there is evidence of Statutory Officer roles not carrying out their duties in line with the Council’s governance framework.  What is evidenced tis that the checks and balances put in place to ensure appropriate governance and control within the Council have been disregard</w:t>
            </w:r>
            <w:r w:rsidR="00A30F81">
              <w:rPr>
                <w:rFonts w:cs="Arial"/>
                <w:sz w:val="20"/>
                <w:szCs w:val="20"/>
              </w:rPr>
              <w:t>ed by officers at a senior level.</w:t>
            </w:r>
          </w:p>
        </w:tc>
      </w:tr>
      <w:tr w:rsidR="000641D0" w:rsidRPr="006A0EC0" w14:paraId="22B4F8A8" w14:textId="77777777" w:rsidTr="00236DD5">
        <w:tc>
          <w:tcPr>
            <w:tcW w:w="851" w:type="dxa"/>
            <w:tcBorders>
              <w:top w:val="nil"/>
              <w:bottom w:val="nil"/>
            </w:tcBorders>
          </w:tcPr>
          <w:p w14:paraId="586ACE0E" w14:textId="33F459D4" w:rsidR="000641D0" w:rsidRPr="00F31D31" w:rsidRDefault="00A30F81" w:rsidP="000641D0">
            <w:pPr>
              <w:spacing w:before="120" w:after="120"/>
              <w:jc w:val="center"/>
              <w:rPr>
                <w:sz w:val="20"/>
                <w:szCs w:val="20"/>
              </w:rPr>
            </w:pPr>
            <w:r>
              <w:rPr>
                <w:sz w:val="20"/>
                <w:szCs w:val="20"/>
              </w:rPr>
              <w:t>5.22</w:t>
            </w:r>
          </w:p>
        </w:tc>
        <w:tc>
          <w:tcPr>
            <w:tcW w:w="9922" w:type="dxa"/>
            <w:tcBorders>
              <w:top w:val="nil"/>
              <w:bottom w:val="nil"/>
            </w:tcBorders>
          </w:tcPr>
          <w:p w14:paraId="146FDE6F" w14:textId="6B05FFE8" w:rsidR="000641D0" w:rsidRPr="002C089B" w:rsidRDefault="005605F2" w:rsidP="00236DD5">
            <w:pPr>
              <w:spacing w:before="120" w:after="120"/>
              <w:jc w:val="both"/>
              <w:rPr>
                <w:rFonts w:cs="Arial"/>
                <w:sz w:val="20"/>
                <w:szCs w:val="20"/>
              </w:rPr>
            </w:pPr>
            <w:r>
              <w:rPr>
                <w:rFonts w:cs="Arial"/>
                <w:sz w:val="20"/>
                <w:szCs w:val="20"/>
              </w:rPr>
              <w:t>The issues outlined above, identified from the work undertaken by Internal Audit demonstrates fundamental failing of the Council’s governance framework / arrangements, there are consistent failures of internal control and breaches of fundamental policies, rules and regulations of the Council.</w:t>
            </w:r>
          </w:p>
        </w:tc>
      </w:tr>
      <w:tr w:rsidR="000641D0" w:rsidRPr="006A0EC0" w14:paraId="46F3000B" w14:textId="77777777" w:rsidTr="004A16B4">
        <w:tc>
          <w:tcPr>
            <w:tcW w:w="851" w:type="dxa"/>
            <w:tcBorders>
              <w:top w:val="nil"/>
              <w:bottom w:val="single" w:sz="4" w:space="0" w:color="auto"/>
            </w:tcBorders>
          </w:tcPr>
          <w:p w14:paraId="1FFB153A" w14:textId="3082D473" w:rsidR="000641D0" w:rsidRPr="00F31D31" w:rsidRDefault="00A30F81" w:rsidP="000641D0">
            <w:pPr>
              <w:spacing w:before="120" w:after="120"/>
              <w:jc w:val="center"/>
              <w:rPr>
                <w:sz w:val="20"/>
                <w:szCs w:val="20"/>
              </w:rPr>
            </w:pPr>
            <w:r>
              <w:rPr>
                <w:sz w:val="20"/>
                <w:szCs w:val="20"/>
              </w:rPr>
              <w:t>5.23</w:t>
            </w:r>
          </w:p>
        </w:tc>
        <w:tc>
          <w:tcPr>
            <w:tcW w:w="9922" w:type="dxa"/>
            <w:tcBorders>
              <w:top w:val="nil"/>
              <w:bottom w:val="single" w:sz="4" w:space="0" w:color="auto"/>
            </w:tcBorders>
          </w:tcPr>
          <w:p w14:paraId="7E6A16A0" w14:textId="4B194971" w:rsidR="000641D0" w:rsidRPr="002C089B" w:rsidRDefault="005605F2" w:rsidP="00236DD5">
            <w:pPr>
              <w:spacing w:before="120" w:after="120"/>
              <w:jc w:val="both"/>
              <w:rPr>
                <w:rFonts w:cs="Arial"/>
                <w:sz w:val="20"/>
                <w:szCs w:val="20"/>
              </w:rPr>
            </w:pPr>
            <w:r>
              <w:rPr>
                <w:rFonts w:cs="Arial"/>
                <w:sz w:val="20"/>
                <w:szCs w:val="20"/>
              </w:rPr>
              <w:t>The findings arising from these reports are included in the Annual Governance Statement 2019 and 2020.</w:t>
            </w:r>
          </w:p>
        </w:tc>
      </w:tr>
    </w:tbl>
    <w:p w14:paraId="2518F7B6" w14:textId="24234533" w:rsidR="004A16B4" w:rsidRDefault="004A16B4"/>
    <w:p w14:paraId="055369F7" w14:textId="77777777" w:rsidR="004A16B4" w:rsidRDefault="004A16B4"/>
    <w:tbl>
      <w:tblPr>
        <w:tblW w:w="10773" w:type="dxa"/>
        <w:tblInd w:w="-45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851"/>
        <w:gridCol w:w="9922"/>
      </w:tblGrid>
      <w:tr w:rsidR="00060FFB" w:rsidRPr="00D30D54" w14:paraId="6BD3A16E" w14:textId="77777777" w:rsidTr="00857093">
        <w:tc>
          <w:tcPr>
            <w:tcW w:w="851" w:type="dxa"/>
            <w:tcBorders>
              <w:bottom w:val="single" w:sz="6" w:space="0" w:color="auto"/>
            </w:tcBorders>
            <w:shd w:val="clear" w:color="auto" w:fill="B8CCE4" w:themeFill="accent1" w:themeFillTint="66"/>
          </w:tcPr>
          <w:p w14:paraId="09988AB2" w14:textId="362FEAB6" w:rsidR="00060FFB" w:rsidRDefault="003F1FA6" w:rsidP="00857093">
            <w:pPr>
              <w:spacing w:before="120" w:after="120"/>
              <w:jc w:val="center"/>
              <w:rPr>
                <w:b/>
              </w:rPr>
            </w:pPr>
            <w:r>
              <w:rPr>
                <w:b/>
              </w:rPr>
              <w:t>6</w:t>
            </w:r>
          </w:p>
        </w:tc>
        <w:tc>
          <w:tcPr>
            <w:tcW w:w="9922" w:type="dxa"/>
            <w:tcBorders>
              <w:bottom w:val="single" w:sz="6" w:space="0" w:color="auto"/>
            </w:tcBorders>
            <w:shd w:val="clear" w:color="auto" w:fill="B8CCE4" w:themeFill="accent1" w:themeFillTint="66"/>
          </w:tcPr>
          <w:p w14:paraId="3C0D787A" w14:textId="22909292" w:rsidR="00060FFB" w:rsidRPr="00D30D54" w:rsidRDefault="003F1FA6" w:rsidP="00857093">
            <w:pPr>
              <w:spacing w:before="120" w:after="120"/>
              <w:rPr>
                <w:b/>
              </w:rPr>
            </w:pPr>
            <w:r>
              <w:rPr>
                <w:b/>
              </w:rPr>
              <w:t>Internal Audit Performance</w:t>
            </w:r>
          </w:p>
        </w:tc>
      </w:tr>
      <w:tr w:rsidR="00060FFB" w:rsidRPr="008F783F" w14:paraId="3C653744" w14:textId="77777777" w:rsidTr="00857093">
        <w:tc>
          <w:tcPr>
            <w:tcW w:w="851" w:type="dxa"/>
            <w:tcBorders>
              <w:top w:val="nil"/>
              <w:bottom w:val="nil"/>
            </w:tcBorders>
          </w:tcPr>
          <w:p w14:paraId="259F970D" w14:textId="52311926" w:rsidR="00060FFB" w:rsidRPr="008F783F" w:rsidRDefault="004A16B4" w:rsidP="00E26FAE">
            <w:pPr>
              <w:spacing w:before="120" w:after="120"/>
              <w:jc w:val="center"/>
              <w:rPr>
                <w:b/>
                <w:sz w:val="20"/>
                <w:szCs w:val="20"/>
              </w:rPr>
            </w:pPr>
            <w:r>
              <w:rPr>
                <w:sz w:val="20"/>
                <w:szCs w:val="20"/>
              </w:rPr>
              <w:t>5</w:t>
            </w:r>
            <w:r w:rsidR="00060FFB" w:rsidRPr="008F783F">
              <w:rPr>
                <w:sz w:val="20"/>
                <w:szCs w:val="20"/>
              </w:rPr>
              <w:t>.1</w:t>
            </w:r>
          </w:p>
        </w:tc>
        <w:tc>
          <w:tcPr>
            <w:tcW w:w="9922" w:type="dxa"/>
            <w:tcBorders>
              <w:top w:val="nil"/>
              <w:bottom w:val="nil"/>
            </w:tcBorders>
          </w:tcPr>
          <w:p w14:paraId="230971F3" w14:textId="278D6065" w:rsidR="00060FFB" w:rsidRPr="008F783F" w:rsidRDefault="003F1FA6" w:rsidP="00A60F22">
            <w:pPr>
              <w:spacing w:before="120" w:after="120"/>
              <w:jc w:val="both"/>
              <w:rPr>
                <w:rFonts w:cs="Arial"/>
                <w:sz w:val="20"/>
                <w:szCs w:val="20"/>
              </w:rPr>
            </w:pPr>
            <w:r>
              <w:rPr>
                <w:rFonts w:cs="Arial"/>
                <w:sz w:val="20"/>
                <w:szCs w:val="20"/>
              </w:rPr>
              <w:t>As can be seen in Appendix 1 the Annual Plan work is 92.54% completed, there are some areas of work that have more time booked against them than originally planned, this is largely due to the extension of scope once it the area of review is discussed with the Service lead.  The % plan completed based on Planned and the Allocated work (as explained above) is 140.71% completed, this is due to the increased resources input throughout the year and increased productive work of Interim Head of Shared Assurance.  The overall plan is 152% complete, this is due to the increased resources and increased workload for South Ribble BC.</w:t>
            </w:r>
          </w:p>
        </w:tc>
      </w:tr>
      <w:tr w:rsidR="008F783F" w:rsidRPr="008F783F" w14:paraId="405C8CEA" w14:textId="77777777" w:rsidTr="008F783F">
        <w:tc>
          <w:tcPr>
            <w:tcW w:w="851" w:type="dxa"/>
            <w:tcBorders>
              <w:top w:val="nil"/>
              <w:bottom w:val="nil"/>
            </w:tcBorders>
          </w:tcPr>
          <w:p w14:paraId="2D0DBB28" w14:textId="04A2F31E" w:rsidR="008F783F" w:rsidRPr="008F783F" w:rsidRDefault="004A16B4" w:rsidP="004A16B4">
            <w:pPr>
              <w:spacing w:before="120" w:after="120"/>
              <w:jc w:val="center"/>
              <w:rPr>
                <w:sz w:val="20"/>
                <w:szCs w:val="20"/>
              </w:rPr>
            </w:pPr>
            <w:r>
              <w:rPr>
                <w:sz w:val="20"/>
                <w:szCs w:val="20"/>
              </w:rPr>
              <w:t>5.2</w:t>
            </w:r>
          </w:p>
        </w:tc>
        <w:tc>
          <w:tcPr>
            <w:tcW w:w="9922" w:type="dxa"/>
            <w:tcBorders>
              <w:top w:val="nil"/>
              <w:bottom w:val="nil"/>
            </w:tcBorders>
          </w:tcPr>
          <w:p w14:paraId="02D1A967" w14:textId="5285BF39" w:rsidR="008F783F" w:rsidRPr="008F783F" w:rsidRDefault="003F1FA6" w:rsidP="000641D0">
            <w:pPr>
              <w:spacing w:before="120" w:after="120"/>
              <w:jc w:val="both"/>
              <w:rPr>
                <w:rFonts w:cs="Arial"/>
                <w:sz w:val="20"/>
                <w:szCs w:val="20"/>
              </w:rPr>
            </w:pPr>
            <w:r>
              <w:rPr>
                <w:rFonts w:cs="Arial"/>
                <w:sz w:val="20"/>
                <w:szCs w:val="20"/>
              </w:rPr>
              <w:t>The Shared Services arrangement generally mean that the service costs are split 50/50 between 2 Council’s, the S151 Officers have agreed a more appropriate split due to the focus on South Ribble Audit work during 2019/20, including the focus of the Interim Head of Shared Assurance.</w:t>
            </w:r>
          </w:p>
        </w:tc>
      </w:tr>
      <w:tr w:rsidR="008F783F" w:rsidRPr="008F783F" w14:paraId="628FFCA0" w14:textId="77777777" w:rsidTr="00A30F81">
        <w:tc>
          <w:tcPr>
            <w:tcW w:w="851" w:type="dxa"/>
            <w:tcBorders>
              <w:top w:val="nil"/>
              <w:bottom w:val="nil"/>
            </w:tcBorders>
          </w:tcPr>
          <w:p w14:paraId="4835BDD0" w14:textId="63263EE8" w:rsidR="008F783F" w:rsidRDefault="004A16B4" w:rsidP="000641D0">
            <w:pPr>
              <w:spacing w:before="120" w:after="120"/>
              <w:jc w:val="center"/>
              <w:rPr>
                <w:sz w:val="20"/>
                <w:szCs w:val="20"/>
              </w:rPr>
            </w:pPr>
            <w:r>
              <w:rPr>
                <w:sz w:val="20"/>
                <w:szCs w:val="20"/>
              </w:rPr>
              <w:t>5.3</w:t>
            </w:r>
          </w:p>
        </w:tc>
        <w:tc>
          <w:tcPr>
            <w:tcW w:w="9922" w:type="dxa"/>
            <w:tcBorders>
              <w:top w:val="nil"/>
              <w:bottom w:val="nil"/>
            </w:tcBorders>
          </w:tcPr>
          <w:p w14:paraId="50BFA0FD" w14:textId="44E28959" w:rsidR="004A16B4" w:rsidRPr="008F783F" w:rsidRDefault="003F1FA6" w:rsidP="000641D0">
            <w:pPr>
              <w:spacing w:before="120" w:after="120"/>
              <w:jc w:val="both"/>
              <w:rPr>
                <w:rFonts w:cs="Arial"/>
                <w:sz w:val="20"/>
                <w:szCs w:val="20"/>
              </w:rPr>
            </w:pPr>
            <w:r>
              <w:rPr>
                <w:rFonts w:cs="Arial"/>
                <w:sz w:val="20"/>
                <w:szCs w:val="20"/>
              </w:rPr>
              <w:t>The Internal Audit Service has achieved 100% of all management actions agreed based on those finalised reports.</w:t>
            </w:r>
          </w:p>
        </w:tc>
      </w:tr>
      <w:tr w:rsidR="00A30F81" w:rsidRPr="008F783F" w14:paraId="07B8ACFA" w14:textId="77777777" w:rsidTr="008F783F">
        <w:tc>
          <w:tcPr>
            <w:tcW w:w="851" w:type="dxa"/>
            <w:tcBorders>
              <w:top w:val="nil"/>
              <w:bottom w:val="single" w:sz="4" w:space="0" w:color="auto"/>
            </w:tcBorders>
          </w:tcPr>
          <w:p w14:paraId="6382524A" w14:textId="77777777" w:rsidR="00A30F81" w:rsidRDefault="00A30F81" w:rsidP="000641D0">
            <w:pPr>
              <w:spacing w:before="120" w:after="120"/>
              <w:jc w:val="center"/>
              <w:rPr>
                <w:sz w:val="20"/>
                <w:szCs w:val="20"/>
              </w:rPr>
            </w:pPr>
          </w:p>
        </w:tc>
        <w:tc>
          <w:tcPr>
            <w:tcW w:w="9922" w:type="dxa"/>
            <w:tcBorders>
              <w:top w:val="nil"/>
              <w:bottom w:val="single" w:sz="4" w:space="0" w:color="auto"/>
            </w:tcBorders>
          </w:tcPr>
          <w:p w14:paraId="199BC3F1" w14:textId="77777777" w:rsidR="00A30F81" w:rsidRPr="008F783F" w:rsidRDefault="00A30F81" w:rsidP="000641D0">
            <w:pPr>
              <w:spacing w:before="120" w:after="120"/>
              <w:jc w:val="both"/>
              <w:rPr>
                <w:rFonts w:cs="Arial"/>
                <w:sz w:val="20"/>
                <w:szCs w:val="20"/>
              </w:rPr>
            </w:pPr>
          </w:p>
        </w:tc>
      </w:tr>
    </w:tbl>
    <w:p w14:paraId="09FA7831" w14:textId="77777777" w:rsidR="00A003FE" w:rsidRPr="003F1FA6" w:rsidRDefault="00A003FE" w:rsidP="003F1FA6">
      <w:pPr>
        <w:sectPr w:rsidR="00A003FE" w:rsidRPr="003F1FA6" w:rsidSect="00E948D6">
          <w:headerReference w:type="default" r:id="rId10"/>
          <w:footerReference w:type="first" r:id="rId11"/>
          <w:pgSz w:w="11909" w:h="16834" w:code="9"/>
          <w:pgMar w:top="820" w:right="1152" w:bottom="630" w:left="1152" w:header="619" w:footer="619" w:gutter="0"/>
          <w:cols w:space="720"/>
          <w:docGrid w:linePitch="299"/>
        </w:sectPr>
      </w:pPr>
    </w:p>
    <w:p w14:paraId="1AA2E844" w14:textId="5B92DAB4" w:rsidR="00D00EAC" w:rsidRDefault="00D00EAC">
      <w:pPr>
        <w:rPr>
          <w:rFonts w:cs="Arial"/>
          <w:b/>
          <w:color w:val="000000"/>
          <w:sz w:val="24"/>
          <w:szCs w:val="24"/>
        </w:rPr>
      </w:pPr>
    </w:p>
    <w:p w14:paraId="3364EF76" w14:textId="77777777" w:rsidR="00D00EAC" w:rsidRDefault="00D00EAC" w:rsidP="003F2FA7">
      <w:pPr>
        <w:pStyle w:val="Default"/>
        <w:rPr>
          <w:b/>
        </w:rPr>
      </w:pPr>
    </w:p>
    <w:sectPr w:rsidR="00D00EAC" w:rsidSect="00E948D6">
      <w:pgSz w:w="11907" w:h="16839" w:code="9"/>
      <w:pgMar w:top="1440" w:right="1152" w:bottom="1008" w:left="1152" w:header="619" w:footer="61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8C6A30" w14:textId="77777777" w:rsidR="00483028" w:rsidRDefault="00483028">
      <w:r>
        <w:separator/>
      </w:r>
    </w:p>
  </w:endnote>
  <w:endnote w:type="continuationSeparator" w:id="0">
    <w:p w14:paraId="24949BBB" w14:textId="77777777" w:rsidR="00483028" w:rsidRDefault="00483028">
      <w:r>
        <w:continuationSeparator/>
      </w:r>
    </w:p>
  </w:endnote>
  <w:endnote w:type="continuationNotice" w:id="1">
    <w:p w14:paraId="1BD8DA86" w14:textId="77777777" w:rsidR="00483028" w:rsidRDefault="004830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AB3E2" w14:textId="77777777" w:rsidR="00483028" w:rsidRDefault="0048302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32</w:t>
    </w:r>
    <w:r>
      <w:rPr>
        <w:rStyle w:val="PageNumber"/>
      </w:rPr>
      <w:fldChar w:fldCharType="end"/>
    </w:r>
  </w:p>
  <w:p w14:paraId="6D63A5D6" w14:textId="46C030AC" w:rsidR="00483028" w:rsidRDefault="00483028">
    <w:pPr>
      <w:pStyle w:val="Footer"/>
      <w:tabs>
        <w:tab w:val="center" w:pos="4770"/>
      </w:tabs>
    </w:pPr>
    <w:r>
      <w:rPr>
        <w:sz w:val="14"/>
      </w:rPr>
      <w:fldChar w:fldCharType="begin"/>
    </w:r>
    <w:r>
      <w:rPr>
        <w:sz w:val="14"/>
      </w:rPr>
      <w:instrText xml:space="preserve"> KEYWORDS  \* MERGEFORMAT </w:instrText>
    </w:r>
    <w:r>
      <w:rPr>
        <w:sz w:val="14"/>
      </w:rPr>
      <w:fldChar w:fldCharType="end"/>
    </w:r>
    <w:r>
      <w:rPr>
        <w:sz w:val="1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C4A071" w14:textId="77777777" w:rsidR="00483028" w:rsidRDefault="00483028">
      <w:r>
        <w:separator/>
      </w:r>
    </w:p>
  </w:footnote>
  <w:footnote w:type="continuationSeparator" w:id="0">
    <w:p w14:paraId="424C2356" w14:textId="77777777" w:rsidR="00483028" w:rsidRDefault="00483028">
      <w:r>
        <w:continuationSeparator/>
      </w:r>
    </w:p>
  </w:footnote>
  <w:footnote w:type="continuationNotice" w:id="1">
    <w:p w14:paraId="263899C0" w14:textId="77777777" w:rsidR="00483028" w:rsidRDefault="004830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text1" w:themeTint="80"/>
      </w:rPr>
      <w:alias w:val="Title"/>
      <w:tag w:val=""/>
      <w:id w:val="1116400235"/>
      <w:placeholder>
        <w:docPart w:val="940C72E3E0824BEC87DBC7FD8E9896FD"/>
      </w:placeholder>
      <w:dataBinding w:prefixMappings="xmlns:ns0='http://purl.org/dc/elements/1.1/' xmlns:ns1='http://schemas.openxmlformats.org/package/2006/metadata/core-properties' " w:xpath="/ns1:coreProperties[1]/ns0:title[1]" w:storeItemID="{6C3C8BC8-F283-45AE-878A-BAB7291924A1}"/>
      <w:text/>
    </w:sdtPr>
    <w:sdtContent>
      <w:p w14:paraId="0E330FF0" w14:textId="6C9EC1CD" w:rsidR="00493EA1" w:rsidRDefault="00493EA1">
        <w:pPr>
          <w:pStyle w:val="Header"/>
          <w:jc w:val="right"/>
          <w:rPr>
            <w:color w:val="7F7F7F" w:themeColor="text1" w:themeTint="80"/>
          </w:rPr>
        </w:pPr>
        <w:r>
          <w:rPr>
            <w:color w:val="7F7F7F" w:themeColor="text1" w:themeTint="80"/>
          </w:rPr>
          <w:t>Appendix 1</w:t>
        </w:r>
      </w:p>
    </w:sdtContent>
  </w:sdt>
  <w:p w14:paraId="44DD4E09" w14:textId="77777777" w:rsidR="00493EA1" w:rsidRDefault="00493E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B5AA707"/>
    <w:multiLevelType w:val="hybridMultilevel"/>
    <w:tmpl w:val="C074F75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AA558E"/>
    <w:multiLevelType w:val="hybridMultilevel"/>
    <w:tmpl w:val="F3AE0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6B34E5"/>
    <w:multiLevelType w:val="hybridMultilevel"/>
    <w:tmpl w:val="DC24E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FF6B0A"/>
    <w:multiLevelType w:val="hybridMultilevel"/>
    <w:tmpl w:val="3FECA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D14A5A"/>
    <w:multiLevelType w:val="hybridMultilevel"/>
    <w:tmpl w:val="5B8EB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6E1FCC"/>
    <w:multiLevelType w:val="hybridMultilevel"/>
    <w:tmpl w:val="FEA2267C"/>
    <w:lvl w:ilvl="0" w:tplc="08090001">
      <w:start w:val="1"/>
      <w:numFmt w:val="bullet"/>
      <w:lvlText w:val=""/>
      <w:lvlJc w:val="left"/>
      <w:pPr>
        <w:ind w:left="1115" w:hanging="360"/>
      </w:pPr>
      <w:rPr>
        <w:rFonts w:ascii="Symbol" w:hAnsi="Symbol" w:hint="default"/>
      </w:rPr>
    </w:lvl>
    <w:lvl w:ilvl="1" w:tplc="08090003" w:tentative="1">
      <w:start w:val="1"/>
      <w:numFmt w:val="bullet"/>
      <w:lvlText w:val="o"/>
      <w:lvlJc w:val="left"/>
      <w:pPr>
        <w:ind w:left="1835" w:hanging="360"/>
      </w:pPr>
      <w:rPr>
        <w:rFonts w:ascii="Courier New" w:hAnsi="Courier New" w:cs="Courier New" w:hint="default"/>
      </w:rPr>
    </w:lvl>
    <w:lvl w:ilvl="2" w:tplc="08090005" w:tentative="1">
      <w:start w:val="1"/>
      <w:numFmt w:val="bullet"/>
      <w:lvlText w:val=""/>
      <w:lvlJc w:val="left"/>
      <w:pPr>
        <w:ind w:left="2555" w:hanging="360"/>
      </w:pPr>
      <w:rPr>
        <w:rFonts w:ascii="Wingdings" w:hAnsi="Wingdings" w:hint="default"/>
      </w:rPr>
    </w:lvl>
    <w:lvl w:ilvl="3" w:tplc="08090001" w:tentative="1">
      <w:start w:val="1"/>
      <w:numFmt w:val="bullet"/>
      <w:lvlText w:val=""/>
      <w:lvlJc w:val="left"/>
      <w:pPr>
        <w:ind w:left="3275" w:hanging="360"/>
      </w:pPr>
      <w:rPr>
        <w:rFonts w:ascii="Symbol" w:hAnsi="Symbol" w:hint="default"/>
      </w:rPr>
    </w:lvl>
    <w:lvl w:ilvl="4" w:tplc="08090003" w:tentative="1">
      <w:start w:val="1"/>
      <w:numFmt w:val="bullet"/>
      <w:lvlText w:val="o"/>
      <w:lvlJc w:val="left"/>
      <w:pPr>
        <w:ind w:left="3995" w:hanging="360"/>
      </w:pPr>
      <w:rPr>
        <w:rFonts w:ascii="Courier New" w:hAnsi="Courier New" w:cs="Courier New" w:hint="default"/>
      </w:rPr>
    </w:lvl>
    <w:lvl w:ilvl="5" w:tplc="08090005" w:tentative="1">
      <w:start w:val="1"/>
      <w:numFmt w:val="bullet"/>
      <w:lvlText w:val=""/>
      <w:lvlJc w:val="left"/>
      <w:pPr>
        <w:ind w:left="4715" w:hanging="360"/>
      </w:pPr>
      <w:rPr>
        <w:rFonts w:ascii="Wingdings" w:hAnsi="Wingdings" w:hint="default"/>
      </w:rPr>
    </w:lvl>
    <w:lvl w:ilvl="6" w:tplc="08090001" w:tentative="1">
      <w:start w:val="1"/>
      <w:numFmt w:val="bullet"/>
      <w:lvlText w:val=""/>
      <w:lvlJc w:val="left"/>
      <w:pPr>
        <w:ind w:left="5435" w:hanging="360"/>
      </w:pPr>
      <w:rPr>
        <w:rFonts w:ascii="Symbol" w:hAnsi="Symbol" w:hint="default"/>
      </w:rPr>
    </w:lvl>
    <w:lvl w:ilvl="7" w:tplc="08090003" w:tentative="1">
      <w:start w:val="1"/>
      <w:numFmt w:val="bullet"/>
      <w:lvlText w:val="o"/>
      <w:lvlJc w:val="left"/>
      <w:pPr>
        <w:ind w:left="6155" w:hanging="360"/>
      </w:pPr>
      <w:rPr>
        <w:rFonts w:ascii="Courier New" w:hAnsi="Courier New" w:cs="Courier New" w:hint="default"/>
      </w:rPr>
    </w:lvl>
    <w:lvl w:ilvl="8" w:tplc="08090005" w:tentative="1">
      <w:start w:val="1"/>
      <w:numFmt w:val="bullet"/>
      <w:lvlText w:val=""/>
      <w:lvlJc w:val="left"/>
      <w:pPr>
        <w:ind w:left="6875" w:hanging="360"/>
      </w:pPr>
      <w:rPr>
        <w:rFonts w:ascii="Wingdings" w:hAnsi="Wingdings" w:hint="default"/>
      </w:rPr>
    </w:lvl>
  </w:abstractNum>
  <w:abstractNum w:abstractNumId="6" w15:restartNumberingAfterBreak="0">
    <w:nsid w:val="1A1A104E"/>
    <w:multiLevelType w:val="hybridMultilevel"/>
    <w:tmpl w:val="8A8A5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6B16C1"/>
    <w:multiLevelType w:val="hybridMultilevel"/>
    <w:tmpl w:val="37BED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9F55DA"/>
    <w:multiLevelType w:val="hybridMultilevel"/>
    <w:tmpl w:val="18888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D36873"/>
    <w:multiLevelType w:val="multilevel"/>
    <w:tmpl w:val="D6946A32"/>
    <w:lvl w:ilvl="0">
      <w:start w:val="1"/>
      <w:numFmt w:val="none"/>
      <w:lvlText w:val="4"/>
      <w:lvlJc w:val="left"/>
      <w:pPr>
        <w:tabs>
          <w:tab w:val="num" w:pos="567"/>
        </w:tabs>
        <w:ind w:left="567" w:hanging="567"/>
      </w:pPr>
      <w:rPr>
        <w:rFonts w:hint="default"/>
      </w:rPr>
    </w:lvl>
    <w:lvl w:ilvl="1">
      <w:start w:val="1"/>
      <w:numFmt w:val="decimal"/>
      <w:lvlText w:val="%2%14.1"/>
      <w:lvlJc w:val="left"/>
      <w:pPr>
        <w:tabs>
          <w:tab w:val="num" w:pos="567"/>
        </w:tabs>
        <w:ind w:left="567" w:hanging="567"/>
      </w:pPr>
      <w:rPr>
        <w:rFonts w:hint="default"/>
        <w:b w:val="0"/>
        <w:i w:val="0"/>
      </w:rPr>
    </w:lvl>
    <w:lvl w:ilvl="2">
      <w:start w:val="1"/>
      <w:numFmt w:val="decimal"/>
      <w:lvlText w:val="%1.%2.%3"/>
      <w:lvlJc w:val="left"/>
      <w:pPr>
        <w:tabs>
          <w:tab w:val="num" w:pos="851"/>
        </w:tabs>
        <w:ind w:left="851" w:hanging="851"/>
      </w:pPr>
      <w:rPr>
        <w:rFonts w:hint="default"/>
      </w:rPr>
    </w:lvl>
    <w:lvl w:ilvl="3">
      <w:start w:val="1"/>
      <w:numFmt w:val="decimal"/>
      <w:pStyle w:val="Heading4"/>
      <w:lvlText w:val="%1.%2.%3.%4"/>
      <w:lvlJc w:val="left"/>
      <w:pPr>
        <w:tabs>
          <w:tab w:val="num" w:pos="1134"/>
        </w:tabs>
        <w:ind w:left="1134" w:hanging="1134"/>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35BB36A8"/>
    <w:multiLevelType w:val="hybridMultilevel"/>
    <w:tmpl w:val="2FD010B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3A226309"/>
    <w:multiLevelType w:val="hybridMultilevel"/>
    <w:tmpl w:val="329CD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4B641D"/>
    <w:multiLevelType w:val="hybridMultilevel"/>
    <w:tmpl w:val="D4405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DB5B71"/>
    <w:multiLevelType w:val="hybridMultilevel"/>
    <w:tmpl w:val="A8BA5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A4796D"/>
    <w:multiLevelType w:val="hybridMultilevel"/>
    <w:tmpl w:val="37C6F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5C2106"/>
    <w:multiLevelType w:val="hybridMultilevel"/>
    <w:tmpl w:val="3AF2C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A242A93"/>
    <w:multiLevelType w:val="hybridMultilevel"/>
    <w:tmpl w:val="141A9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3B75BA"/>
    <w:multiLevelType w:val="hybridMultilevel"/>
    <w:tmpl w:val="4448C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405375"/>
    <w:multiLevelType w:val="hybridMultilevel"/>
    <w:tmpl w:val="E58CA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C6E0EBE"/>
    <w:multiLevelType w:val="multilevel"/>
    <w:tmpl w:val="68BA132C"/>
    <w:lvl w:ilvl="0">
      <w:start w:val="2"/>
      <w:numFmt w:val="none"/>
      <w:pStyle w:val="ListNumber5"/>
      <w:lvlText w:val="7"/>
      <w:lvlJc w:val="left"/>
      <w:pPr>
        <w:tabs>
          <w:tab w:val="num" w:pos="570"/>
        </w:tabs>
        <w:ind w:left="570" w:hanging="570"/>
      </w:pPr>
      <w:rPr>
        <w:rFonts w:hint="default"/>
        <w:b/>
        <w:i w:val="0"/>
      </w:rPr>
    </w:lvl>
    <w:lvl w:ilvl="1">
      <w:start w:val="2"/>
      <w:numFmt w:val="decimal"/>
      <w:lvlText w:val="%17.1"/>
      <w:lvlJc w:val="left"/>
      <w:pPr>
        <w:tabs>
          <w:tab w:val="num" w:pos="723"/>
        </w:tabs>
        <w:ind w:left="723" w:hanging="570"/>
      </w:pPr>
      <w:rPr>
        <w:rFonts w:hint="default"/>
      </w:rPr>
    </w:lvl>
    <w:lvl w:ilvl="2">
      <w:start w:val="2"/>
      <w:numFmt w:val="decimal"/>
      <w:lvlText w:val="%17.2"/>
      <w:lvlJc w:val="left"/>
      <w:pPr>
        <w:tabs>
          <w:tab w:val="num" w:pos="1593"/>
        </w:tabs>
        <w:ind w:left="1593" w:hanging="720"/>
      </w:pPr>
      <w:rPr>
        <w:rFonts w:hint="default"/>
      </w:rPr>
    </w:lvl>
    <w:lvl w:ilvl="3">
      <w:start w:val="3"/>
      <w:numFmt w:val="decimal"/>
      <w:lvlText w:val="%1.%4"/>
      <w:lvlJc w:val="left"/>
      <w:pPr>
        <w:tabs>
          <w:tab w:val="num" w:pos="2313"/>
        </w:tabs>
        <w:ind w:left="2313" w:hanging="720"/>
      </w:pPr>
      <w:rPr>
        <w:rFonts w:hint="default"/>
      </w:rPr>
    </w:lvl>
    <w:lvl w:ilvl="4">
      <w:start w:val="4"/>
      <w:numFmt w:val="decimal"/>
      <w:lvlText w:val="%1.%5"/>
      <w:lvlJc w:val="left"/>
      <w:pPr>
        <w:tabs>
          <w:tab w:val="num" w:pos="3393"/>
        </w:tabs>
        <w:ind w:left="3393" w:hanging="1080"/>
      </w:pPr>
      <w:rPr>
        <w:rFonts w:hint="default"/>
      </w:rPr>
    </w:lvl>
    <w:lvl w:ilvl="5">
      <w:start w:val="5"/>
      <w:numFmt w:val="decimal"/>
      <w:lvlText w:val="%1.5"/>
      <w:lvlJc w:val="left"/>
      <w:pPr>
        <w:tabs>
          <w:tab w:val="num" w:pos="4113"/>
        </w:tabs>
        <w:ind w:left="4113" w:hanging="1080"/>
      </w:pPr>
      <w:rPr>
        <w:rFonts w:hint="default"/>
      </w:rPr>
    </w:lvl>
    <w:lvl w:ilvl="6">
      <w:start w:val="1"/>
      <w:numFmt w:val="decimal"/>
      <w:lvlText w:val="%1.%2.%3.%4.%5.%6.%7"/>
      <w:lvlJc w:val="left"/>
      <w:pPr>
        <w:tabs>
          <w:tab w:val="num" w:pos="5193"/>
        </w:tabs>
        <w:ind w:left="5193" w:hanging="1440"/>
      </w:pPr>
      <w:rPr>
        <w:rFonts w:hint="default"/>
      </w:rPr>
    </w:lvl>
    <w:lvl w:ilvl="7">
      <w:start w:val="1"/>
      <w:numFmt w:val="decimal"/>
      <w:lvlText w:val="%1.%2.%3.%4.%5.%6.%7.%8"/>
      <w:lvlJc w:val="left"/>
      <w:pPr>
        <w:tabs>
          <w:tab w:val="num" w:pos="5913"/>
        </w:tabs>
        <w:ind w:left="5913" w:hanging="1440"/>
      </w:pPr>
      <w:rPr>
        <w:rFonts w:hint="default"/>
      </w:rPr>
    </w:lvl>
    <w:lvl w:ilvl="8">
      <w:start w:val="1"/>
      <w:numFmt w:val="decimal"/>
      <w:lvlText w:val="%1.%2.%3.%4.%5.%6.%7.%8.%9"/>
      <w:lvlJc w:val="left"/>
      <w:pPr>
        <w:tabs>
          <w:tab w:val="num" w:pos="6993"/>
        </w:tabs>
        <w:ind w:left="6993" w:hanging="1800"/>
      </w:pPr>
      <w:rPr>
        <w:rFonts w:hint="default"/>
      </w:rPr>
    </w:lvl>
  </w:abstractNum>
  <w:abstractNum w:abstractNumId="20" w15:restartNumberingAfterBreak="0">
    <w:nsid w:val="6DB74877"/>
    <w:multiLevelType w:val="hybridMultilevel"/>
    <w:tmpl w:val="8168FAF0"/>
    <w:lvl w:ilvl="0" w:tplc="0809000B">
      <w:start w:val="1"/>
      <w:numFmt w:val="bullet"/>
      <w:lvlText w:val=""/>
      <w:lvlJc w:val="left"/>
      <w:pPr>
        <w:ind w:left="540" w:hanging="360"/>
      </w:pPr>
      <w:rPr>
        <w:rFonts w:ascii="Wingdings" w:hAnsi="Wingdings"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21" w15:restartNumberingAfterBreak="0">
    <w:nsid w:val="72590260"/>
    <w:multiLevelType w:val="hybridMultilevel"/>
    <w:tmpl w:val="B0FE7A7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4BE66AD"/>
    <w:multiLevelType w:val="hybridMultilevel"/>
    <w:tmpl w:val="8EAE2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F801D29"/>
    <w:multiLevelType w:val="hybridMultilevel"/>
    <w:tmpl w:val="DF844A6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9"/>
  </w:num>
  <w:num w:numId="3">
    <w:abstractNumId w:val="22"/>
  </w:num>
  <w:num w:numId="4">
    <w:abstractNumId w:val="20"/>
  </w:num>
  <w:num w:numId="5">
    <w:abstractNumId w:val="21"/>
  </w:num>
  <w:num w:numId="6">
    <w:abstractNumId w:val="23"/>
  </w:num>
  <w:num w:numId="7">
    <w:abstractNumId w:val="2"/>
  </w:num>
  <w:num w:numId="8">
    <w:abstractNumId w:val="8"/>
  </w:num>
  <w:num w:numId="9">
    <w:abstractNumId w:val="3"/>
  </w:num>
  <w:num w:numId="10">
    <w:abstractNumId w:val="0"/>
  </w:num>
  <w:num w:numId="11">
    <w:abstractNumId w:val="10"/>
  </w:num>
  <w:num w:numId="12">
    <w:abstractNumId w:val="6"/>
  </w:num>
  <w:num w:numId="13">
    <w:abstractNumId w:val="17"/>
  </w:num>
  <w:num w:numId="14">
    <w:abstractNumId w:val="13"/>
  </w:num>
  <w:num w:numId="15">
    <w:abstractNumId w:val="18"/>
  </w:num>
  <w:num w:numId="16">
    <w:abstractNumId w:val="15"/>
  </w:num>
  <w:num w:numId="17">
    <w:abstractNumId w:val="14"/>
  </w:num>
  <w:num w:numId="18">
    <w:abstractNumId w:val="16"/>
  </w:num>
  <w:num w:numId="19">
    <w:abstractNumId w:val="11"/>
  </w:num>
  <w:num w:numId="20">
    <w:abstractNumId w:val="1"/>
  </w:num>
  <w:num w:numId="21">
    <w:abstractNumId w:val="7"/>
  </w:num>
  <w:num w:numId="22">
    <w:abstractNumId w:val="4"/>
  </w:num>
  <w:num w:numId="23">
    <w:abstractNumId w:val="12"/>
  </w:num>
  <w:num w:numId="24">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273409" fillcolor="silver" stroke="f">
      <v:fill color="silver" opacity="22938f"/>
      <v:stroke on="f"/>
      <v:shadow color="#868686"/>
      <o:colormru v:ext="edit" colors="#e2e2e2,#f5f5f5,#f1f1f1,#c1c1c1,#dedede,#ececec,#f9f9f9,#ee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5D1"/>
    <w:rsid w:val="000027FB"/>
    <w:rsid w:val="00003A7D"/>
    <w:rsid w:val="00005774"/>
    <w:rsid w:val="00007493"/>
    <w:rsid w:val="00007A0C"/>
    <w:rsid w:val="00011E42"/>
    <w:rsid w:val="00011E93"/>
    <w:rsid w:val="00011F39"/>
    <w:rsid w:val="0001392A"/>
    <w:rsid w:val="00013B49"/>
    <w:rsid w:val="0001409E"/>
    <w:rsid w:val="00014704"/>
    <w:rsid w:val="00014CB7"/>
    <w:rsid w:val="00016EC1"/>
    <w:rsid w:val="00017D1B"/>
    <w:rsid w:val="00020B39"/>
    <w:rsid w:val="000234F5"/>
    <w:rsid w:val="000246D7"/>
    <w:rsid w:val="00026D11"/>
    <w:rsid w:val="00030154"/>
    <w:rsid w:val="00030FCD"/>
    <w:rsid w:val="000310F2"/>
    <w:rsid w:val="00031187"/>
    <w:rsid w:val="000313D1"/>
    <w:rsid w:val="00031CF4"/>
    <w:rsid w:val="00035F0E"/>
    <w:rsid w:val="0003761C"/>
    <w:rsid w:val="00040029"/>
    <w:rsid w:val="00041E9D"/>
    <w:rsid w:val="0004568C"/>
    <w:rsid w:val="00050BFB"/>
    <w:rsid w:val="0005465C"/>
    <w:rsid w:val="000548C3"/>
    <w:rsid w:val="00060FFB"/>
    <w:rsid w:val="00062731"/>
    <w:rsid w:val="00062E01"/>
    <w:rsid w:val="000641D0"/>
    <w:rsid w:val="00066828"/>
    <w:rsid w:val="0006697C"/>
    <w:rsid w:val="00070310"/>
    <w:rsid w:val="0007071C"/>
    <w:rsid w:val="000713A0"/>
    <w:rsid w:val="000720C9"/>
    <w:rsid w:val="000726C2"/>
    <w:rsid w:val="00074689"/>
    <w:rsid w:val="000773BE"/>
    <w:rsid w:val="00077746"/>
    <w:rsid w:val="000801EC"/>
    <w:rsid w:val="000828B7"/>
    <w:rsid w:val="00084966"/>
    <w:rsid w:val="00085B3E"/>
    <w:rsid w:val="0008769D"/>
    <w:rsid w:val="000902B7"/>
    <w:rsid w:val="00090345"/>
    <w:rsid w:val="00092109"/>
    <w:rsid w:val="00093DBF"/>
    <w:rsid w:val="000A4FE4"/>
    <w:rsid w:val="000A57FD"/>
    <w:rsid w:val="000B058B"/>
    <w:rsid w:val="000B3985"/>
    <w:rsid w:val="000B5353"/>
    <w:rsid w:val="000B6CAA"/>
    <w:rsid w:val="000C5909"/>
    <w:rsid w:val="000C6DF9"/>
    <w:rsid w:val="000D0878"/>
    <w:rsid w:val="000D2D21"/>
    <w:rsid w:val="000D345D"/>
    <w:rsid w:val="000D3A5F"/>
    <w:rsid w:val="000D4FBF"/>
    <w:rsid w:val="000D5E22"/>
    <w:rsid w:val="000D7820"/>
    <w:rsid w:val="000D7D72"/>
    <w:rsid w:val="000E098B"/>
    <w:rsid w:val="000E11FA"/>
    <w:rsid w:val="000E18E6"/>
    <w:rsid w:val="000E1AE4"/>
    <w:rsid w:val="000E1BF4"/>
    <w:rsid w:val="000E367F"/>
    <w:rsid w:val="000E7CBC"/>
    <w:rsid w:val="000F1408"/>
    <w:rsid w:val="000F1A13"/>
    <w:rsid w:val="000F39BF"/>
    <w:rsid w:val="000F5332"/>
    <w:rsid w:val="000F605C"/>
    <w:rsid w:val="000F63C7"/>
    <w:rsid w:val="00100BCB"/>
    <w:rsid w:val="001024E3"/>
    <w:rsid w:val="00104320"/>
    <w:rsid w:val="001059B4"/>
    <w:rsid w:val="00105C87"/>
    <w:rsid w:val="00105E17"/>
    <w:rsid w:val="00106C7D"/>
    <w:rsid w:val="0010743C"/>
    <w:rsid w:val="00110552"/>
    <w:rsid w:val="001111D2"/>
    <w:rsid w:val="00111371"/>
    <w:rsid w:val="001113C5"/>
    <w:rsid w:val="00111F1A"/>
    <w:rsid w:val="00113264"/>
    <w:rsid w:val="0011487A"/>
    <w:rsid w:val="001154D8"/>
    <w:rsid w:val="001178F3"/>
    <w:rsid w:val="00117C6B"/>
    <w:rsid w:val="0012224E"/>
    <w:rsid w:val="00123082"/>
    <w:rsid w:val="00123D38"/>
    <w:rsid w:val="00124333"/>
    <w:rsid w:val="0013010F"/>
    <w:rsid w:val="00133098"/>
    <w:rsid w:val="00133787"/>
    <w:rsid w:val="0013448C"/>
    <w:rsid w:val="0013537A"/>
    <w:rsid w:val="001436C3"/>
    <w:rsid w:val="0014406A"/>
    <w:rsid w:val="001451F6"/>
    <w:rsid w:val="00147DE0"/>
    <w:rsid w:val="001507C1"/>
    <w:rsid w:val="00150B69"/>
    <w:rsid w:val="00152F7B"/>
    <w:rsid w:val="001531FB"/>
    <w:rsid w:val="00154F35"/>
    <w:rsid w:val="00154F46"/>
    <w:rsid w:val="0016216B"/>
    <w:rsid w:val="00162374"/>
    <w:rsid w:val="0016285E"/>
    <w:rsid w:val="001631D3"/>
    <w:rsid w:val="0016364D"/>
    <w:rsid w:val="001641C4"/>
    <w:rsid w:val="00164AC9"/>
    <w:rsid w:val="001652D0"/>
    <w:rsid w:val="00165CDF"/>
    <w:rsid w:val="00167593"/>
    <w:rsid w:val="001676DF"/>
    <w:rsid w:val="001702B1"/>
    <w:rsid w:val="001724B9"/>
    <w:rsid w:val="0017277B"/>
    <w:rsid w:val="00173B26"/>
    <w:rsid w:val="00173C51"/>
    <w:rsid w:val="0017745F"/>
    <w:rsid w:val="00182094"/>
    <w:rsid w:val="001822BF"/>
    <w:rsid w:val="0018288B"/>
    <w:rsid w:val="001837B6"/>
    <w:rsid w:val="00184E6F"/>
    <w:rsid w:val="0018633C"/>
    <w:rsid w:val="00190E06"/>
    <w:rsid w:val="00191008"/>
    <w:rsid w:val="00191DF6"/>
    <w:rsid w:val="001971C4"/>
    <w:rsid w:val="00197447"/>
    <w:rsid w:val="00197659"/>
    <w:rsid w:val="00197716"/>
    <w:rsid w:val="00197982"/>
    <w:rsid w:val="001A0302"/>
    <w:rsid w:val="001A1A81"/>
    <w:rsid w:val="001A204E"/>
    <w:rsid w:val="001A2585"/>
    <w:rsid w:val="001A2CE8"/>
    <w:rsid w:val="001A6F91"/>
    <w:rsid w:val="001A73C9"/>
    <w:rsid w:val="001A799F"/>
    <w:rsid w:val="001A7A3B"/>
    <w:rsid w:val="001B599E"/>
    <w:rsid w:val="001B5EFF"/>
    <w:rsid w:val="001B62D8"/>
    <w:rsid w:val="001B79A8"/>
    <w:rsid w:val="001C218B"/>
    <w:rsid w:val="001C295B"/>
    <w:rsid w:val="001C4C66"/>
    <w:rsid w:val="001C5D5D"/>
    <w:rsid w:val="001C6685"/>
    <w:rsid w:val="001C68C2"/>
    <w:rsid w:val="001C7671"/>
    <w:rsid w:val="001C7875"/>
    <w:rsid w:val="001D21EE"/>
    <w:rsid w:val="001D2240"/>
    <w:rsid w:val="001D536C"/>
    <w:rsid w:val="001D6574"/>
    <w:rsid w:val="001E0430"/>
    <w:rsid w:val="001E05E5"/>
    <w:rsid w:val="001E4C7C"/>
    <w:rsid w:val="001E5FAE"/>
    <w:rsid w:val="001E7269"/>
    <w:rsid w:val="001F06B5"/>
    <w:rsid w:val="001F399C"/>
    <w:rsid w:val="001F44DD"/>
    <w:rsid w:val="001F7AC4"/>
    <w:rsid w:val="0020024F"/>
    <w:rsid w:val="00200D33"/>
    <w:rsid w:val="00200F4C"/>
    <w:rsid w:val="00200FA7"/>
    <w:rsid w:val="0020679A"/>
    <w:rsid w:val="002139FD"/>
    <w:rsid w:val="00213EE1"/>
    <w:rsid w:val="002151A5"/>
    <w:rsid w:val="00222842"/>
    <w:rsid w:val="002231BB"/>
    <w:rsid w:val="002240DE"/>
    <w:rsid w:val="00226F46"/>
    <w:rsid w:val="00227D76"/>
    <w:rsid w:val="00231317"/>
    <w:rsid w:val="00233828"/>
    <w:rsid w:val="00233D6B"/>
    <w:rsid w:val="00236DD5"/>
    <w:rsid w:val="00236EA6"/>
    <w:rsid w:val="0024010E"/>
    <w:rsid w:val="002402CD"/>
    <w:rsid w:val="002418E8"/>
    <w:rsid w:val="00242DD9"/>
    <w:rsid w:val="00245324"/>
    <w:rsid w:val="0024585C"/>
    <w:rsid w:val="00247031"/>
    <w:rsid w:val="00251A80"/>
    <w:rsid w:val="0025284D"/>
    <w:rsid w:val="00252ADA"/>
    <w:rsid w:val="00253470"/>
    <w:rsid w:val="0025646D"/>
    <w:rsid w:val="00257465"/>
    <w:rsid w:val="00260471"/>
    <w:rsid w:val="00260BB4"/>
    <w:rsid w:val="0026162D"/>
    <w:rsid w:val="00263EF5"/>
    <w:rsid w:val="00265804"/>
    <w:rsid w:val="00265B39"/>
    <w:rsid w:val="00265CF5"/>
    <w:rsid w:val="00266197"/>
    <w:rsid w:val="00266BB2"/>
    <w:rsid w:val="00266FF0"/>
    <w:rsid w:val="00267753"/>
    <w:rsid w:val="00270F09"/>
    <w:rsid w:val="00270F41"/>
    <w:rsid w:val="002738D3"/>
    <w:rsid w:val="002747E5"/>
    <w:rsid w:val="002764C1"/>
    <w:rsid w:val="0027732A"/>
    <w:rsid w:val="0029130D"/>
    <w:rsid w:val="00291B8A"/>
    <w:rsid w:val="00291CC7"/>
    <w:rsid w:val="00291FEB"/>
    <w:rsid w:val="00292C1B"/>
    <w:rsid w:val="00292CA1"/>
    <w:rsid w:val="002962A8"/>
    <w:rsid w:val="002963DF"/>
    <w:rsid w:val="00296BA6"/>
    <w:rsid w:val="00297088"/>
    <w:rsid w:val="002A21BF"/>
    <w:rsid w:val="002A2616"/>
    <w:rsid w:val="002A7101"/>
    <w:rsid w:val="002A745B"/>
    <w:rsid w:val="002B1C61"/>
    <w:rsid w:val="002B22F5"/>
    <w:rsid w:val="002B395F"/>
    <w:rsid w:val="002B5CE1"/>
    <w:rsid w:val="002B6504"/>
    <w:rsid w:val="002B6D4C"/>
    <w:rsid w:val="002C0496"/>
    <w:rsid w:val="002C089B"/>
    <w:rsid w:val="002C1924"/>
    <w:rsid w:val="002C5F3C"/>
    <w:rsid w:val="002C6709"/>
    <w:rsid w:val="002C67C0"/>
    <w:rsid w:val="002C6B94"/>
    <w:rsid w:val="002C7BCB"/>
    <w:rsid w:val="002D5B35"/>
    <w:rsid w:val="002D643D"/>
    <w:rsid w:val="002D68A5"/>
    <w:rsid w:val="002E0503"/>
    <w:rsid w:val="002E2340"/>
    <w:rsid w:val="002E4AEA"/>
    <w:rsid w:val="002E584A"/>
    <w:rsid w:val="002E5BB6"/>
    <w:rsid w:val="002E5D8A"/>
    <w:rsid w:val="002E6A23"/>
    <w:rsid w:val="002E7522"/>
    <w:rsid w:val="002F0BE3"/>
    <w:rsid w:val="002F720A"/>
    <w:rsid w:val="002F768B"/>
    <w:rsid w:val="00301A78"/>
    <w:rsid w:val="00303270"/>
    <w:rsid w:val="00305158"/>
    <w:rsid w:val="00305FFF"/>
    <w:rsid w:val="00306347"/>
    <w:rsid w:val="003065E3"/>
    <w:rsid w:val="00307E5A"/>
    <w:rsid w:val="0031023E"/>
    <w:rsid w:val="00311049"/>
    <w:rsid w:val="0031350E"/>
    <w:rsid w:val="003153BB"/>
    <w:rsid w:val="003208B2"/>
    <w:rsid w:val="00320C7E"/>
    <w:rsid w:val="003253A6"/>
    <w:rsid w:val="00325ACB"/>
    <w:rsid w:val="00326C47"/>
    <w:rsid w:val="00327BC2"/>
    <w:rsid w:val="003302C8"/>
    <w:rsid w:val="00330374"/>
    <w:rsid w:val="00330403"/>
    <w:rsid w:val="003311E6"/>
    <w:rsid w:val="00336072"/>
    <w:rsid w:val="00336F2B"/>
    <w:rsid w:val="003414C7"/>
    <w:rsid w:val="0034269A"/>
    <w:rsid w:val="00342F86"/>
    <w:rsid w:val="003458B1"/>
    <w:rsid w:val="00347804"/>
    <w:rsid w:val="00347D7A"/>
    <w:rsid w:val="003507BB"/>
    <w:rsid w:val="00350FD1"/>
    <w:rsid w:val="003522D7"/>
    <w:rsid w:val="003571C8"/>
    <w:rsid w:val="003628D3"/>
    <w:rsid w:val="00362C1C"/>
    <w:rsid w:val="00363330"/>
    <w:rsid w:val="00365042"/>
    <w:rsid w:val="00365B97"/>
    <w:rsid w:val="00371648"/>
    <w:rsid w:val="00373403"/>
    <w:rsid w:val="003777F8"/>
    <w:rsid w:val="00381A3C"/>
    <w:rsid w:val="00381D70"/>
    <w:rsid w:val="00383A82"/>
    <w:rsid w:val="003852D9"/>
    <w:rsid w:val="00391174"/>
    <w:rsid w:val="003917EC"/>
    <w:rsid w:val="003942C3"/>
    <w:rsid w:val="00395906"/>
    <w:rsid w:val="0039757A"/>
    <w:rsid w:val="003A0F92"/>
    <w:rsid w:val="003A34ED"/>
    <w:rsid w:val="003A6697"/>
    <w:rsid w:val="003A7362"/>
    <w:rsid w:val="003B07FE"/>
    <w:rsid w:val="003B3287"/>
    <w:rsid w:val="003B4137"/>
    <w:rsid w:val="003C2017"/>
    <w:rsid w:val="003C2594"/>
    <w:rsid w:val="003C2944"/>
    <w:rsid w:val="003C349F"/>
    <w:rsid w:val="003C44F2"/>
    <w:rsid w:val="003C539C"/>
    <w:rsid w:val="003C5465"/>
    <w:rsid w:val="003C63AC"/>
    <w:rsid w:val="003D2300"/>
    <w:rsid w:val="003D2851"/>
    <w:rsid w:val="003D32A5"/>
    <w:rsid w:val="003D5217"/>
    <w:rsid w:val="003D5CEB"/>
    <w:rsid w:val="003D604C"/>
    <w:rsid w:val="003D66A7"/>
    <w:rsid w:val="003E17C0"/>
    <w:rsid w:val="003E3170"/>
    <w:rsid w:val="003E3BF4"/>
    <w:rsid w:val="003E4C9A"/>
    <w:rsid w:val="003E5F02"/>
    <w:rsid w:val="003E5F4F"/>
    <w:rsid w:val="003E7D33"/>
    <w:rsid w:val="003F1FA6"/>
    <w:rsid w:val="003F2FA7"/>
    <w:rsid w:val="003F3214"/>
    <w:rsid w:val="003F3580"/>
    <w:rsid w:val="003F3AC1"/>
    <w:rsid w:val="003F688E"/>
    <w:rsid w:val="00401390"/>
    <w:rsid w:val="00402841"/>
    <w:rsid w:val="004028F3"/>
    <w:rsid w:val="004041D3"/>
    <w:rsid w:val="00404E72"/>
    <w:rsid w:val="00405003"/>
    <w:rsid w:val="00405663"/>
    <w:rsid w:val="004058B4"/>
    <w:rsid w:val="00406437"/>
    <w:rsid w:val="004127DB"/>
    <w:rsid w:val="004144C3"/>
    <w:rsid w:val="004145F0"/>
    <w:rsid w:val="00414BE1"/>
    <w:rsid w:val="00414EF7"/>
    <w:rsid w:val="00416D71"/>
    <w:rsid w:val="00416F81"/>
    <w:rsid w:val="00417B41"/>
    <w:rsid w:val="00421377"/>
    <w:rsid w:val="004233B7"/>
    <w:rsid w:val="0042395B"/>
    <w:rsid w:val="004244EA"/>
    <w:rsid w:val="00430ECE"/>
    <w:rsid w:val="00433FBC"/>
    <w:rsid w:val="00434E1C"/>
    <w:rsid w:val="00436289"/>
    <w:rsid w:val="004376FB"/>
    <w:rsid w:val="0044018B"/>
    <w:rsid w:val="004403FA"/>
    <w:rsid w:val="0044106C"/>
    <w:rsid w:val="00441164"/>
    <w:rsid w:val="0044168F"/>
    <w:rsid w:val="00442083"/>
    <w:rsid w:val="00442B31"/>
    <w:rsid w:val="0044317C"/>
    <w:rsid w:val="00443762"/>
    <w:rsid w:val="00447A65"/>
    <w:rsid w:val="00450A64"/>
    <w:rsid w:val="00455C3D"/>
    <w:rsid w:val="004560C3"/>
    <w:rsid w:val="00456893"/>
    <w:rsid w:val="00457541"/>
    <w:rsid w:val="004601A4"/>
    <w:rsid w:val="00460C8F"/>
    <w:rsid w:val="00460E9A"/>
    <w:rsid w:val="0046232A"/>
    <w:rsid w:val="0046634E"/>
    <w:rsid w:val="0046719B"/>
    <w:rsid w:val="00467C15"/>
    <w:rsid w:val="004706EA"/>
    <w:rsid w:val="0047132A"/>
    <w:rsid w:val="00471BEE"/>
    <w:rsid w:val="00474000"/>
    <w:rsid w:val="00474D28"/>
    <w:rsid w:val="00475D46"/>
    <w:rsid w:val="00481020"/>
    <w:rsid w:val="00483028"/>
    <w:rsid w:val="0048457F"/>
    <w:rsid w:val="00493EA1"/>
    <w:rsid w:val="00495BBC"/>
    <w:rsid w:val="00497DE1"/>
    <w:rsid w:val="00497F4E"/>
    <w:rsid w:val="004A11B7"/>
    <w:rsid w:val="004A16B4"/>
    <w:rsid w:val="004A2787"/>
    <w:rsid w:val="004A3459"/>
    <w:rsid w:val="004A5F2A"/>
    <w:rsid w:val="004A6526"/>
    <w:rsid w:val="004A65F9"/>
    <w:rsid w:val="004B18D0"/>
    <w:rsid w:val="004B2A99"/>
    <w:rsid w:val="004B2C41"/>
    <w:rsid w:val="004B34C2"/>
    <w:rsid w:val="004B39D9"/>
    <w:rsid w:val="004B4D1A"/>
    <w:rsid w:val="004C0EAD"/>
    <w:rsid w:val="004C230D"/>
    <w:rsid w:val="004C32BA"/>
    <w:rsid w:val="004C4505"/>
    <w:rsid w:val="004C4EAF"/>
    <w:rsid w:val="004D289C"/>
    <w:rsid w:val="004D3E40"/>
    <w:rsid w:val="004D5368"/>
    <w:rsid w:val="004D593A"/>
    <w:rsid w:val="004D63B9"/>
    <w:rsid w:val="004E096C"/>
    <w:rsid w:val="004E1B98"/>
    <w:rsid w:val="004E6D9F"/>
    <w:rsid w:val="004E7383"/>
    <w:rsid w:val="004E79AC"/>
    <w:rsid w:val="004E7A8A"/>
    <w:rsid w:val="004F1AEE"/>
    <w:rsid w:val="004F2371"/>
    <w:rsid w:val="004F2EEF"/>
    <w:rsid w:val="004F46C4"/>
    <w:rsid w:val="004F6B6E"/>
    <w:rsid w:val="004F74D2"/>
    <w:rsid w:val="004F7987"/>
    <w:rsid w:val="00501F20"/>
    <w:rsid w:val="0050387A"/>
    <w:rsid w:val="00503D32"/>
    <w:rsid w:val="00505138"/>
    <w:rsid w:val="00505829"/>
    <w:rsid w:val="00511C84"/>
    <w:rsid w:val="00513D3A"/>
    <w:rsid w:val="00513DCF"/>
    <w:rsid w:val="0052193B"/>
    <w:rsid w:val="0052301E"/>
    <w:rsid w:val="00524B9F"/>
    <w:rsid w:val="00524D2A"/>
    <w:rsid w:val="0053000C"/>
    <w:rsid w:val="0053074C"/>
    <w:rsid w:val="005340B5"/>
    <w:rsid w:val="0053474C"/>
    <w:rsid w:val="00535B9E"/>
    <w:rsid w:val="0053601E"/>
    <w:rsid w:val="0053668F"/>
    <w:rsid w:val="00542150"/>
    <w:rsid w:val="00543316"/>
    <w:rsid w:val="0054566C"/>
    <w:rsid w:val="0054580A"/>
    <w:rsid w:val="00547899"/>
    <w:rsid w:val="005533E0"/>
    <w:rsid w:val="00555875"/>
    <w:rsid w:val="00556225"/>
    <w:rsid w:val="005562D4"/>
    <w:rsid w:val="00557492"/>
    <w:rsid w:val="00557EF0"/>
    <w:rsid w:val="005601AF"/>
    <w:rsid w:val="005605F2"/>
    <w:rsid w:val="00562791"/>
    <w:rsid w:val="00566951"/>
    <w:rsid w:val="00570428"/>
    <w:rsid w:val="00571733"/>
    <w:rsid w:val="00572F47"/>
    <w:rsid w:val="005736B7"/>
    <w:rsid w:val="00573B45"/>
    <w:rsid w:val="00574023"/>
    <w:rsid w:val="00574CEF"/>
    <w:rsid w:val="00576275"/>
    <w:rsid w:val="005762E5"/>
    <w:rsid w:val="00577E97"/>
    <w:rsid w:val="00580EF2"/>
    <w:rsid w:val="005810E3"/>
    <w:rsid w:val="005818BE"/>
    <w:rsid w:val="005830FD"/>
    <w:rsid w:val="005831BD"/>
    <w:rsid w:val="0058339D"/>
    <w:rsid w:val="00584DAB"/>
    <w:rsid w:val="00586445"/>
    <w:rsid w:val="0058670F"/>
    <w:rsid w:val="00592EDE"/>
    <w:rsid w:val="00593869"/>
    <w:rsid w:val="00595D52"/>
    <w:rsid w:val="0059606C"/>
    <w:rsid w:val="00597210"/>
    <w:rsid w:val="00597F7C"/>
    <w:rsid w:val="005A00E0"/>
    <w:rsid w:val="005A10EF"/>
    <w:rsid w:val="005A32F3"/>
    <w:rsid w:val="005A4334"/>
    <w:rsid w:val="005A4720"/>
    <w:rsid w:val="005A4DBE"/>
    <w:rsid w:val="005B3D90"/>
    <w:rsid w:val="005B425B"/>
    <w:rsid w:val="005B7A20"/>
    <w:rsid w:val="005C16C6"/>
    <w:rsid w:val="005C20F8"/>
    <w:rsid w:val="005C55B4"/>
    <w:rsid w:val="005C6AD9"/>
    <w:rsid w:val="005C70BE"/>
    <w:rsid w:val="005D329C"/>
    <w:rsid w:val="005D56AF"/>
    <w:rsid w:val="005D727F"/>
    <w:rsid w:val="005E6C4B"/>
    <w:rsid w:val="005F0C31"/>
    <w:rsid w:val="005F1A11"/>
    <w:rsid w:val="005F30EE"/>
    <w:rsid w:val="005F41DE"/>
    <w:rsid w:val="005F5923"/>
    <w:rsid w:val="005F6347"/>
    <w:rsid w:val="00603A27"/>
    <w:rsid w:val="00604016"/>
    <w:rsid w:val="00604A88"/>
    <w:rsid w:val="006101A6"/>
    <w:rsid w:val="00612114"/>
    <w:rsid w:val="006127F1"/>
    <w:rsid w:val="006144AB"/>
    <w:rsid w:val="006157D9"/>
    <w:rsid w:val="006162ED"/>
    <w:rsid w:val="0062107F"/>
    <w:rsid w:val="00622ED0"/>
    <w:rsid w:val="00626030"/>
    <w:rsid w:val="00627EE6"/>
    <w:rsid w:val="0063188D"/>
    <w:rsid w:val="00633FFA"/>
    <w:rsid w:val="00635658"/>
    <w:rsid w:val="00636F7F"/>
    <w:rsid w:val="00640D92"/>
    <w:rsid w:val="00643BA7"/>
    <w:rsid w:val="00644713"/>
    <w:rsid w:val="00645FCE"/>
    <w:rsid w:val="00646029"/>
    <w:rsid w:val="00646449"/>
    <w:rsid w:val="006466D1"/>
    <w:rsid w:val="00651EE5"/>
    <w:rsid w:val="0065299A"/>
    <w:rsid w:val="00652AE1"/>
    <w:rsid w:val="00653E3C"/>
    <w:rsid w:val="00654F19"/>
    <w:rsid w:val="00657D21"/>
    <w:rsid w:val="00657F89"/>
    <w:rsid w:val="00661889"/>
    <w:rsid w:val="00662250"/>
    <w:rsid w:val="006624CB"/>
    <w:rsid w:val="00662B35"/>
    <w:rsid w:val="00663404"/>
    <w:rsid w:val="006641FD"/>
    <w:rsid w:val="00664AB3"/>
    <w:rsid w:val="00665BE9"/>
    <w:rsid w:val="00666D4F"/>
    <w:rsid w:val="00667EAB"/>
    <w:rsid w:val="00670F34"/>
    <w:rsid w:val="00671190"/>
    <w:rsid w:val="00677584"/>
    <w:rsid w:val="00677B1B"/>
    <w:rsid w:val="0068059C"/>
    <w:rsid w:val="0068284F"/>
    <w:rsid w:val="00683681"/>
    <w:rsid w:val="00686FF6"/>
    <w:rsid w:val="0068729E"/>
    <w:rsid w:val="00692F06"/>
    <w:rsid w:val="00696D49"/>
    <w:rsid w:val="006A01D7"/>
    <w:rsid w:val="006A0EC0"/>
    <w:rsid w:val="006A105F"/>
    <w:rsid w:val="006A1A2E"/>
    <w:rsid w:val="006A4916"/>
    <w:rsid w:val="006B136D"/>
    <w:rsid w:val="006B6EDB"/>
    <w:rsid w:val="006B72BB"/>
    <w:rsid w:val="006B7445"/>
    <w:rsid w:val="006C1448"/>
    <w:rsid w:val="006C346F"/>
    <w:rsid w:val="006C76BF"/>
    <w:rsid w:val="006D0339"/>
    <w:rsid w:val="006D096E"/>
    <w:rsid w:val="006D2127"/>
    <w:rsid w:val="006D265F"/>
    <w:rsid w:val="006D5B28"/>
    <w:rsid w:val="006E0C0B"/>
    <w:rsid w:val="006E294C"/>
    <w:rsid w:val="006E56D5"/>
    <w:rsid w:val="006F0488"/>
    <w:rsid w:val="006F0872"/>
    <w:rsid w:val="006F0BD2"/>
    <w:rsid w:val="006F14D1"/>
    <w:rsid w:val="006F40FA"/>
    <w:rsid w:val="006F4D87"/>
    <w:rsid w:val="006F4ED2"/>
    <w:rsid w:val="006F6C92"/>
    <w:rsid w:val="006F7688"/>
    <w:rsid w:val="007004E9"/>
    <w:rsid w:val="00700897"/>
    <w:rsid w:val="00701777"/>
    <w:rsid w:val="007022A9"/>
    <w:rsid w:val="007025A6"/>
    <w:rsid w:val="00703909"/>
    <w:rsid w:val="0070598A"/>
    <w:rsid w:val="0070698E"/>
    <w:rsid w:val="0070719F"/>
    <w:rsid w:val="00707374"/>
    <w:rsid w:val="007075C1"/>
    <w:rsid w:val="00707FB8"/>
    <w:rsid w:val="007105AD"/>
    <w:rsid w:val="00711391"/>
    <w:rsid w:val="00711F40"/>
    <w:rsid w:val="00712526"/>
    <w:rsid w:val="00712DC7"/>
    <w:rsid w:val="00714064"/>
    <w:rsid w:val="007142C6"/>
    <w:rsid w:val="00717184"/>
    <w:rsid w:val="00717A7B"/>
    <w:rsid w:val="0072067D"/>
    <w:rsid w:val="0072175C"/>
    <w:rsid w:val="007225C0"/>
    <w:rsid w:val="00725424"/>
    <w:rsid w:val="007258D3"/>
    <w:rsid w:val="00727DCA"/>
    <w:rsid w:val="007307D2"/>
    <w:rsid w:val="00734199"/>
    <w:rsid w:val="007368E5"/>
    <w:rsid w:val="007404BF"/>
    <w:rsid w:val="00742E42"/>
    <w:rsid w:val="00743E0E"/>
    <w:rsid w:val="00744B21"/>
    <w:rsid w:val="00744D79"/>
    <w:rsid w:val="007457A1"/>
    <w:rsid w:val="00745AB9"/>
    <w:rsid w:val="00745D00"/>
    <w:rsid w:val="00746B4C"/>
    <w:rsid w:val="00747C21"/>
    <w:rsid w:val="00753049"/>
    <w:rsid w:val="00753940"/>
    <w:rsid w:val="00755299"/>
    <w:rsid w:val="007575BA"/>
    <w:rsid w:val="007612C9"/>
    <w:rsid w:val="007613C4"/>
    <w:rsid w:val="007618B5"/>
    <w:rsid w:val="00761F23"/>
    <w:rsid w:val="0076247D"/>
    <w:rsid w:val="00763B3F"/>
    <w:rsid w:val="00765B6A"/>
    <w:rsid w:val="00770D52"/>
    <w:rsid w:val="007725AA"/>
    <w:rsid w:val="00772EF2"/>
    <w:rsid w:val="00774858"/>
    <w:rsid w:val="00774BEB"/>
    <w:rsid w:val="00775B66"/>
    <w:rsid w:val="00776505"/>
    <w:rsid w:val="00776E2A"/>
    <w:rsid w:val="00777CD7"/>
    <w:rsid w:val="00780856"/>
    <w:rsid w:val="00782702"/>
    <w:rsid w:val="007843DB"/>
    <w:rsid w:val="00785DCF"/>
    <w:rsid w:val="007861B3"/>
    <w:rsid w:val="00791767"/>
    <w:rsid w:val="00792627"/>
    <w:rsid w:val="007932C8"/>
    <w:rsid w:val="007977AE"/>
    <w:rsid w:val="00797B68"/>
    <w:rsid w:val="007A2256"/>
    <w:rsid w:val="007A238F"/>
    <w:rsid w:val="007A4A88"/>
    <w:rsid w:val="007A5C61"/>
    <w:rsid w:val="007A5FBC"/>
    <w:rsid w:val="007A7BA0"/>
    <w:rsid w:val="007A7E81"/>
    <w:rsid w:val="007B0289"/>
    <w:rsid w:val="007B1BD3"/>
    <w:rsid w:val="007B20B6"/>
    <w:rsid w:val="007B37AD"/>
    <w:rsid w:val="007B6098"/>
    <w:rsid w:val="007B732D"/>
    <w:rsid w:val="007B7C35"/>
    <w:rsid w:val="007C2FDD"/>
    <w:rsid w:val="007C3EF2"/>
    <w:rsid w:val="007C66E9"/>
    <w:rsid w:val="007C69FF"/>
    <w:rsid w:val="007C716D"/>
    <w:rsid w:val="007C7652"/>
    <w:rsid w:val="007C7CD3"/>
    <w:rsid w:val="007D02FD"/>
    <w:rsid w:val="007D140A"/>
    <w:rsid w:val="007D1528"/>
    <w:rsid w:val="007D2F22"/>
    <w:rsid w:val="007D431F"/>
    <w:rsid w:val="007D5615"/>
    <w:rsid w:val="007D5E71"/>
    <w:rsid w:val="007D766E"/>
    <w:rsid w:val="007E2899"/>
    <w:rsid w:val="007E34D9"/>
    <w:rsid w:val="007E3603"/>
    <w:rsid w:val="007E635F"/>
    <w:rsid w:val="007E779F"/>
    <w:rsid w:val="007E7F67"/>
    <w:rsid w:val="007F245A"/>
    <w:rsid w:val="007F31C9"/>
    <w:rsid w:val="007F3A96"/>
    <w:rsid w:val="007F4E8D"/>
    <w:rsid w:val="007F6DDC"/>
    <w:rsid w:val="007F76FF"/>
    <w:rsid w:val="007F772D"/>
    <w:rsid w:val="00801C5B"/>
    <w:rsid w:val="00804F4E"/>
    <w:rsid w:val="00806817"/>
    <w:rsid w:val="0080779D"/>
    <w:rsid w:val="008109E6"/>
    <w:rsid w:val="00811CC6"/>
    <w:rsid w:val="008124EB"/>
    <w:rsid w:val="00812FE1"/>
    <w:rsid w:val="00815BD7"/>
    <w:rsid w:val="008170AE"/>
    <w:rsid w:val="00817578"/>
    <w:rsid w:val="008205F7"/>
    <w:rsid w:val="00821B49"/>
    <w:rsid w:val="0082361B"/>
    <w:rsid w:val="008256FC"/>
    <w:rsid w:val="008273D2"/>
    <w:rsid w:val="00827B71"/>
    <w:rsid w:val="00827D7C"/>
    <w:rsid w:val="00832128"/>
    <w:rsid w:val="00832396"/>
    <w:rsid w:val="00832E45"/>
    <w:rsid w:val="008336D4"/>
    <w:rsid w:val="008347B9"/>
    <w:rsid w:val="00835FF9"/>
    <w:rsid w:val="00836C6B"/>
    <w:rsid w:val="00836CF7"/>
    <w:rsid w:val="00837D01"/>
    <w:rsid w:val="00837E94"/>
    <w:rsid w:val="00841A0E"/>
    <w:rsid w:val="00841AC7"/>
    <w:rsid w:val="0084356C"/>
    <w:rsid w:val="00845779"/>
    <w:rsid w:val="0084645C"/>
    <w:rsid w:val="00854A95"/>
    <w:rsid w:val="00854EF5"/>
    <w:rsid w:val="00855559"/>
    <w:rsid w:val="00857093"/>
    <w:rsid w:val="00857169"/>
    <w:rsid w:val="008578B7"/>
    <w:rsid w:val="00857D84"/>
    <w:rsid w:val="00862B29"/>
    <w:rsid w:val="00862FF1"/>
    <w:rsid w:val="00865057"/>
    <w:rsid w:val="008658E1"/>
    <w:rsid w:val="00866AC9"/>
    <w:rsid w:val="00870F9F"/>
    <w:rsid w:val="00871961"/>
    <w:rsid w:val="008719E8"/>
    <w:rsid w:val="00871A6A"/>
    <w:rsid w:val="00871D33"/>
    <w:rsid w:val="0087369F"/>
    <w:rsid w:val="0087541F"/>
    <w:rsid w:val="00875E8F"/>
    <w:rsid w:val="00876DA4"/>
    <w:rsid w:val="00877308"/>
    <w:rsid w:val="00881E14"/>
    <w:rsid w:val="00884A28"/>
    <w:rsid w:val="008865B2"/>
    <w:rsid w:val="00886BA5"/>
    <w:rsid w:val="0088716C"/>
    <w:rsid w:val="008900BC"/>
    <w:rsid w:val="00890344"/>
    <w:rsid w:val="008917B1"/>
    <w:rsid w:val="00891E03"/>
    <w:rsid w:val="00893159"/>
    <w:rsid w:val="008947DA"/>
    <w:rsid w:val="00895B46"/>
    <w:rsid w:val="00896C3F"/>
    <w:rsid w:val="008A0A71"/>
    <w:rsid w:val="008A21C4"/>
    <w:rsid w:val="008A68D2"/>
    <w:rsid w:val="008A7043"/>
    <w:rsid w:val="008A759E"/>
    <w:rsid w:val="008A789B"/>
    <w:rsid w:val="008B1B34"/>
    <w:rsid w:val="008B1DBD"/>
    <w:rsid w:val="008B356A"/>
    <w:rsid w:val="008B39DB"/>
    <w:rsid w:val="008B4F3C"/>
    <w:rsid w:val="008B5418"/>
    <w:rsid w:val="008B63E1"/>
    <w:rsid w:val="008B64AB"/>
    <w:rsid w:val="008B7B0B"/>
    <w:rsid w:val="008C125B"/>
    <w:rsid w:val="008C1D99"/>
    <w:rsid w:val="008C3815"/>
    <w:rsid w:val="008C38FE"/>
    <w:rsid w:val="008C4116"/>
    <w:rsid w:val="008C4335"/>
    <w:rsid w:val="008C67D3"/>
    <w:rsid w:val="008C67E4"/>
    <w:rsid w:val="008C6D4F"/>
    <w:rsid w:val="008D1A2A"/>
    <w:rsid w:val="008D4C5D"/>
    <w:rsid w:val="008D4EAD"/>
    <w:rsid w:val="008D60C9"/>
    <w:rsid w:val="008D685D"/>
    <w:rsid w:val="008D76B2"/>
    <w:rsid w:val="008E11F3"/>
    <w:rsid w:val="008E1697"/>
    <w:rsid w:val="008E3E5B"/>
    <w:rsid w:val="008E733E"/>
    <w:rsid w:val="008E7ADE"/>
    <w:rsid w:val="008F4437"/>
    <w:rsid w:val="008F6F37"/>
    <w:rsid w:val="008F783F"/>
    <w:rsid w:val="00901974"/>
    <w:rsid w:val="00901FD2"/>
    <w:rsid w:val="00903754"/>
    <w:rsid w:val="00904AC1"/>
    <w:rsid w:val="0090599E"/>
    <w:rsid w:val="00906229"/>
    <w:rsid w:val="0090731B"/>
    <w:rsid w:val="0091048D"/>
    <w:rsid w:val="00910E62"/>
    <w:rsid w:val="00912DB5"/>
    <w:rsid w:val="00913104"/>
    <w:rsid w:val="009170E5"/>
    <w:rsid w:val="00920532"/>
    <w:rsid w:val="00921311"/>
    <w:rsid w:val="00924177"/>
    <w:rsid w:val="00924A2D"/>
    <w:rsid w:val="0092634D"/>
    <w:rsid w:val="0092728E"/>
    <w:rsid w:val="00927D0A"/>
    <w:rsid w:val="0093029F"/>
    <w:rsid w:val="00934946"/>
    <w:rsid w:val="00935766"/>
    <w:rsid w:val="009401B2"/>
    <w:rsid w:val="009407A3"/>
    <w:rsid w:val="00941C42"/>
    <w:rsid w:val="00942A1B"/>
    <w:rsid w:val="009439AE"/>
    <w:rsid w:val="009440B7"/>
    <w:rsid w:val="00945751"/>
    <w:rsid w:val="00946730"/>
    <w:rsid w:val="00950B35"/>
    <w:rsid w:val="00950BF2"/>
    <w:rsid w:val="0095152D"/>
    <w:rsid w:val="00952DED"/>
    <w:rsid w:val="009551C8"/>
    <w:rsid w:val="0095571F"/>
    <w:rsid w:val="00956484"/>
    <w:rsid w:val="00956EE3"/>
    <w:rsid w:val="00961EDD"/>
    <w:rsid w:val="009628D5"/>
    <w:rsid w:val="00963267"/>
    <w:rsid w:val="00965143"/>
    <w:rsid w:val="009652E4"/>
    <w:rsid w:val="00965504"/>
    <w:rsid w:val="00967EB6"/>
    <w:rsid w:val="0097256D"/>
    <w:rsid w:val="009725D1"/>
    <w:rsid w:val="00972F50"/>
    <w:rsid w:val="00975035"/>
    <w:rsid w:val="0097589E"/>
    <w:rsid w:val="00977875"/>
    <w:rsid w:val="00977D9F"/>
    <w:rsid w:val="00977F90"/>
    <w:rsid w:val="0098036A"/>
    <w:rsid w:val="00980D4F"/>
    <w:rsid w:val="00982FAF"/>
    <w:rsid w:val="0098430D"/>
    <w:rsid w:val="009844E4"/>
    <w:rsid w:val="00984B71"/>
    <w:rsid w:val="00985E96"/>
    <w:rsid w:val="00986E54"/>
    <w:rsid w:val="009910B8"/>
    <w:rsid w:val="0099207D"/>
    <w:rsid w:val="009932C2"/>
    <w:rsid w:val="009939D8"/>
    <w:rsid w:val="0099410E"/>
    <w:rsid w:val="0099575C"/>
    <w:rsid w:val="009A1035"/>
    <w:rsid w:val="009A1297"/>
    <w:rsid w:val="009A1F84"/>
    <w:rsid w:val="009A3D46"/>
    <w:rsid w:val="009A564C"/>
    <w:rsid w:val="009A5AD5"/>
    <w:rsid w:val="009A62B2"/>
    <w:rsid w:val="009A6D64"/>
    <w:rsid w:val="009A6F38"/>
    <w:rsid w:val="009A7572"/>
    <w:rsid w:val="009A76A1"/>
    <w:rsid w:val="009A7895"/>
    <w:rsid w:val="009A7CBF"/>
    <w:rsid w:val="009B0C26"/>
    <w:rsid w:val="009B0E63"/>
    <w:rsid w:val="009B77C7"/>
    <w:rsid w:val="009C0989"/>
    <w:rsid w:val="009C26D9"/>
    <w:rsid w:val="009C4033"/>
    <w:rsid w:val="009C7957"/>
    <w:rsid w:val="009D10C2"/>
    <w:rsid w:val="009D2A05"/>
    <w:rsid w:val="009D2C83"/>
    <w:rsid w:val="009D2EE7"/>
    <w:rsid w:val="009D3FDC"/>
    <w:rsid w:val="009E04FD"/>
    <w:rsid w:val="009E0695"/>
    <w:rsid w:val="009E07A4"/>
    <w:rsid w:val="009E14A6"/>
    <w:rsid w:val="009E17C2"/>
    <w:rsid w:val="009E1CA4"/>
    <w:rsid w:val="009E5421"/>
    <w:rsid w:val="009E5B96"/>
    <w:rsid w:val="009E5D64"/>
    <w:rsid w:val="009F00D7"/>
    <w:rsid w:val="009F14BB"/>
    <w:rsid w:val="009F1733"/>
    <w:rsid w:val="009F4676"/>
    <w:rsid w:val="00A003FE"/>
    <w:rsid w:val="00A00AAB"/>
    <w:rsid w:val="00A00C3E"/>
    <w:rsid w:val="00A01156"/>
    <w:rsid w:val="00A02114"/>
    <w:rsid w:val="00A0334D"/>
    <w:rsid w:val="00A03D4A"/>
    <w:rsid w:val="00A05379"/>
    <w:rsid w:val="00A05AB6"/>
    <w:rsid w:val="00A06ECB"/>
    <w:rsid w:val="00A070F7"/>
    <w:rsid w:val="00A100CF"/>
    <w:rsid w:val="00A107C1"/>
    <w:rsid w:val="00A129AB"/>
    <w:rsid w:val="00A130F0"/>
    <w:rsid w:val="00A14921"/>
    <w:rsid w:val="00A14F3A"/>
    <w:rsid w:val="00A16729"/>
    <w:rsid w:val="00A169DF"/>
    <w:rsid w:val="00A16F96"/>
    <w:rsid w:val="00A17D02"/>
    <w:rsid w:val="00A207D9"/>
    <w:rsid w:val="00A21F7A"/>
    <w:rsid w:val="00A22D6B"/>
    <w:rsid w:val="00A23AF0"/>
    <w:rsid w:val="00A24D24"/>
    <w:rsid w:val="00A24E52"/>
    <w:rsid w:val="00A30366"/>
    <w:rsid w:val="00A30F81"/>
    <w:rsid w:val="00A33DA5"/>
    <w:rsid w:val="00A33EA0"/>
    <w:rsid w:val="00A35271"/>
    <w:rsid w:val="00A40942"/>
    <w:rsid w:val="00A40F63"/>
    <w:rsid w:val="00A41857"/>
    <w:rsid w:val="00A42B29"/>
    <w:rsid w:val="00A432DA"/>
    <w:rsid w:val="00A44476"/>
    <w:rsid w:val="00A4524E"/>
    <w:rsid w:val="00A471F2"/>
    <w:rsid w:val="00A51A63"/>
    <w:rsid w:val="00A55811"/>
    <w:rsid w:val="00A55977"/>
    <w:rsid w:val="00A566E8"/>
    <w:rsid w:val="00A5737F"/>
    <w:rsid w:val="00A60A93"/>
    <w:rsid w:val="00A60F09"/>
    <w:rsid w:val="00A60F22"/>
    <w:rsid w:val="00A6117D"/>
    <w:rsid w:val="00A673FF"/>
    <w:rsid w:val="00A67EEA"/>
    <w:rsid w:val="00A72BFD"/>
    <w:rsid w:val="00A742F3"/>
    <w:rsid w:val="00A75FC9"/>
    <w:rsid w:val="00A77412"/>
    <w:rsid w:val="00A81793"/>
    <w:rsid w:val="00A825BD"/>
    <w:rsid w:val="00A82697"/>
    <w:rsid w:val="00A82F44"/>
    <w:rsid w:val="00A83073"/>
    <w:rsid w:val="00A83A08"/>
    <w:rsid w:val="00A83F88"/>
    <w:rsid w:val="00A853FF"/>
    <w:rsid w:val="00A90409"/>
    <w:rsid w:val="00A9100A"/>
    <w:rsid w:val="00A91E73"/>
    <w:rsid w:val="00A973D7"/>
    <w:rsid w:val="00AA018A"/>
    <w:rsid w:val="00AA17B7"/>
    <w:rsid w:val="00AA4A04"/>
    <w:rsid w:val="00AA6016"/>
    <w:rsid w:val="00AB23AC"/>
    <w:rsid w:val="00AB23BE"/>
    <w:rsid w:val="00AB32EB"/>
    <w:rsid w:val="00AB3D60"/>
    <w:rsid w:val="00AB6516"/>
    <w:rsid w:val="00AB6876"/>
    <w:rsid w:val="00AB73BC"/>
    <w:rsid w:val="00AC0D64"/>
    <w:rsid w:val="00AC0FFC"/>
    <w:rsid w:val="00AC11BB"/>
    <w:rsid w:val="00AC18FF"/>
    <w:rsid w:val="00AC1B1D"/>
    <w:rsid w:val="00AC3AF7"/>
    <w:rsid w:val="00AC755E"/>
    <w:rsid w:val="00AC7B11"/>
    <w:rsid w:val="00AD17EA"/>
    <w:rsid w:val="00AD2736"/>
    <w:rsid w:val="00AD46A7"/>
    <w:rsid w:val="00AD6567"/>
    <w:rsid w:val="00AD7FCF"/>
    <w:rsid w:val="00AE1252"/>
    <w:rsid w:val="00AE157C"/>
    <w:rsid w:val="00AE1AAF"/>
    <w:rsid w:val="00AE330E"/>
    <w:rsid w:val="00AE6325"/>
    <w:rsid w:val="00AE6648"/>
    <w:rsid w:val="00AE68D9"/>
    <w:rsid w:val="00AE6C6E"/>
    <w:rsid w:val="00AF2AE7"/>
    <w:rsid w:val="00AF2C55"/>
    <w:rsid w:val="00AF52D3"/>
    <w:rsid w:val="00AF5C63"/>
    <w:rsid w:val="00AF774F"/>
    <w:rsid w:val="00B02552"/>
    <w:rsid w:val="00B0666F"/>
    <w:rsid w:val="00B06683"/>
    <w:rsid w:val="00B115E5"/>
    <w:rsid w:val="00B131B3"/>
    <w:rsid w:val="00B13CA7"/>
    <w:rsid w:val="00B27115"/>
    <w:rsid w:val="00B303BA"/>
    <w:rsid w:val="00B3061D"/>
    <w:rsid w:val="00B32F8A"/>
    <w:rsid w:val="00B4111A"/>
    <w:rsid w:val="00B41F05"/>
    <w:rsid w:val="00B46226"/>
    <w:rsid w:val="00B46652"/>
    <w:rsid w:val="00B46F08"/>
    <w:rsid w:val="00B47DE2"/>
    <w:rsid w:val="00B509F2"/>
    <w:rsid w:val="00B50B61"/>
    <w:rsid w:val="00B51AF8"/>
    <w:rsid w:val="00B51E34"/>
    <w:rsid w:val="00B521A7"/>
    <w:rsid w:val="00B52EFB"/>
    <w:rsid w:val="00B52F14"/>
    <w:rsid w:val="00B53B73"/>
    <w:rsid w:val="00B545A1"/>
    <w:rsid w:val="00B564B8"/>
    <w:rsid w:val="00B57EB9"/>
    <w:rsid w:val="00B60FB3"/>
    <w:rsid w:val="00B65AC5"/>
    <w:rsid w:val="00B71854"/>
    <w:rsid w:val="00B7446A"/>
    <w:rsid w:val="00B747C2"/>
    <w:rsid w:val="00B7482E"/>
    <w:rsid w:val="00B7705E"/>
    <w:rsid w:val="00B7715D"/>
    <w:rsid w:val="00B81FC7"/>
    <w:rsid w:val="00B823AE"/>
    <w:rsid w:val="00B82827"/>
    <w:rsid w:val="00B82925"/>
    <w:rsid w:val="00B8390B"/>
    <w:rsid w:val="00B84853"/>
    <w:rsid w:val="00B90EB0"/>
    <w:rsid w:val="00B91DC1"/>
    <w:rsid w:val="00B938F5"/>
    <w:rsid w:val="00B940D8"/>
    <w:rsid w:val="00B97155"/>
    <w:rsid w:val="00B972A5"/>
    <w:rsid w:val="00BA012A"/>
    <w:rsid w:val="00BA0912"/>
    <w:rsid w:val="00BA1C49"/>
    <w:rsid w:val="00BA53F1"/>
    <w:rsid w:val="00BA5FC5"/>
    <w:rsid w:val="00BA632B"/>
    <w:rsid w:val="00BB0703"/>
    <w:rsid w:val="00BB15D1"/>
    <w:rsid w:val="00BB17B2"/>
    <w:rsid w:val="00BB27FF"/>
    <w:rsid w:val="00BB2C2E"/>
    <w:rsid w:val="00BB2D6B"/>
    <w:rsid w:val="00BB3D4A"/>
    <w:rsid w:val="00BB49D4"/>
    <w:rsid w:val="00BB618A"/>
    <w:rsid w:val="00BC1CCC"/>
    <w:rsid w:val="00BC1D77"/>
    <w:rsid w:val="00BC26C3"/>
    <w:rsid w:val="00BC759A"/>
    <w:rsid w:val="00BD34FF"/>
    <w:rsid w:val="00BD52CE"/>
    <w:rsid w:val="00BD58C6"/>
    <w:rsid w:val="00BD68CE"/>
    <w:rsid w:val="00BD76A3"/>
    <w:rsid w:val="00BE0F8E"/>
    <w:rsid w:val="00BE115F"/>
    <w:rsid w:val="00BE1BA1"/>
    <w:rsid w:val="00BE3199"/>
    <w:rsid w:val="00BE4591"/>
    <w:rsid w:val="00BE71C3"/>
    <w:rsid w:val="00BE7519"/>
    <w:rsid w:val="00BE7BEA"/>
    <w:rsid w:val="00BF042A"/>
    <w:rsid w:val="00BF1AC6"/>
    <w:rsid w:val="00BF251F"/>
    <w:rsid w:val="00BF6A12"/>
    <w:rsid w:val="00BF7D72"/>
    <w:rsid w:val="00C00953"/>
    <w:rsid w:val="00C00FA8"/>
    <w:rsid w:val="00C039A8"/>
    <w:rsid w:val="00C04A8F"/>
    <w:rsid w:val="00C069AF"/>
    <w:rsid w:val="00C0722E"/>
    <w:rsid w:val="00C10A3F"/>
    <w:rsid w:val="00C1274C"/>
    <w:rsid w:val="00C130DB"/>
    <w:rsid w:val="00C172E4"/>
    <w:rsid w:val="00C22DDD"/>
    <w:rsid w:val="00C231D5"/>
    <w:rsid w:val="00C23520"/>
    <w:rsid w:val="00C25020"/>
    <w:rsid w:val="00C31363"/>
    <w:rsid w:val="00C33B4D"/>
    <w:rsid w:val="00C36451"/>
    <w:rsid w:val="00C36954"/>
    <w:rsid w:val="00C4053C"/>
    <w:rsid w:val="00C40795"/>
    <w:rsid w:val="00C4091D"/>
    <w:rsid w:val="00C41D95"/>
    <w:rsid w:val="00C42964"/>
    <w:rsid w:val="00C42B3E"/>
    <w:rsid w:val="00C46C9D"/>
    <w:rsid w:val="00C47020"/>
    <w:rsid w:val="00C47122"/>
    <w:rsid w:val="00C50093"/>
    <w:rsid w:val="00C52256"/>
    <w:rsid w:val="00C52862"/>
    <w:rsid w:val="00C52D28"/>
    <w:rsid w:val="00C550F6"/>
    <w:rsid w:val="00C56468"/>
    <w:rsid w:val="00C56C0B"/>
    <w:rsid w:val="00C57403"/>
    <w:rsid w:val="00C61E97"/>
    <w:rsid w:val="00C625B6"/>
    <w:rsid w:val="00C62AA1"/>
    <w:rsid w:val="00C63D8A"/>
    <w:rsid w:val="00C65615"/>
    <w:rsid w:val="00C65B3D"/>
    <w:rsid w:val="00C67BA2"/>
    <w:rsid w:val="00C703AB"/>
    <w:rsid w:val="00C7069E"/>
    <w:rsid w:val="00C718D0"/>
    <w:rsid w:val="00C7317D"/>
    <w:rsid w:val="00C737B8"/>
    <w:rsid w:val="00C75737"/>
    <w:rsid w:val="00C75854"/>
    <w:rsid w:val="00C76258"/>
    <w:rsid w:val="00C80691"/>
    <w:rsid w:val="00C80AA2"/>
    <w:rsid w:val="00C810D5"/>
    <w:rsid w:val="00C82F43"/>
    <w:rsid w:val="00C838EE"/>
    <w:rsid w:val="00C85283"/>
    <w:rsid w:val="00C86137"/>
    <w:rsid w:val="00C86F2B"/>
    <w:rsid w:val="00C874EA"/>
    <w:rsid w:val="00C92253"/>
    <w:rsid w:val="00C957D1"/>
    <w:rsid w:val="00C969A4"/>
    <w:rsid w:val="00CA076E"/>
    <w:rsid w:val="00CA1C84"/>
    <w:rsid w:val="00CA6128"/>
    <w:rsid w:val="00CA7A3D"/>
    <w:rsid w:val="00CA7CFD"/>
    <w:rsid w:val="00CB05BB"/>
    <w:rsid w:val="00CB106A"/>
    <w:rsid w:val="00CB1482"/>
    <w:rsid w:val="00CB1FFD"/>
    <w:rsid w:val="00CB2661"/>
    <w:rsid w:val="00CB2EF1"/>
    <w:rsid w:val="00CB3D44"/>
    <w:rsid w:val="00CB4746"/>
    <w:rsid w:val="00CB7813"/>
    <w:rsid w:val="00CB796C"/>
    <w:rsid w:val="00CB7DAC"/>
    <w:rsid w:val="00CC020C"/>
    <w:rsid w:val="00CC1779"/>
    <w:rsid w:val="00CC464A"/>
    <w:rsid w:val="00CC5DA8"/>
    <w:rsid w:val="00CC690D"/>
    <w:rsid w:val="00CC6B47"/>
    <w:rsid w:val="00CD11CA"/>
    <w:rsid w:val="00CD4D03"/>
    <w:rsid w:val="00CD65F3"/>
    <w:rsid w:val="00CE0000"/>
    <w:rsid w:val="00CE0157"/>
    <w:rsid w:val="00CE2E28"/>
    <w:rsid w:val="00CE4448"/>
    <w:rsid w:val="00CE5E71"/>
    <w:rsid w:val="00CE6DB4"/>
    <w:rsid w:val="00CF0427"/>
    <w:rsid w:val="00CF43E6"/>
    <w:rsid w:val="00CF5AB0"/>
    <w:rsid w:val="00CF6243"/>
    <w:rsid w:val="00CF692D"/>
    <w:rsid w:val="00CF6BB9"/>
    <w:rsid w:val="00CF6CCC"/>
    <w:rsid w:val="00D00EAC"/>
    <w:rsid w:val="00D03052"/>
    <w:rsid w:val="00D0344D"/>
    <w:rsid w:val="00D046C6"/>
    <w:rsid w:val="00D07EBF"/>
    <w:rsid w:val="00D100A1"/>
    <w:rsid w:val="00D105DF"/>
    <w:rsid w:val="00D12151"/>
    <w:rsid w:val="00D1243A"/>
    <w:rsid w:val="00D12466"/>
    <w:rsid w:val="00D13398"/>
    <w:rsid w:val="00D154D4"/>
    <w:rsid w:val="00D16B9B"/>
    <w:rsid w:val="00D20657"/>
    <w:rsid w:val="00D22061"/>
    <w:rsid w:val="00D273D7"/>
    <w:rsid w:val="00D30774"/>
    <w:rsid w:val="00D30D54"/>
    <w:rsid w:val="00D310C5"/>
    <w:rsid w:val="00D33962"/>
    <w:rsid w:val="00D34670"/>
    <w:rsid w:val="00D34A75"/>
    <w:rsid w:val="00D34F73"/>
    <w:rsid w:val="00D375CE"/>
    <w:rsid w:val="00D37A74"/>
    <w:rsid w:val="00D40D09"/>
    <w:rsid w:val="00D41B2E"/>
    <w:rsid w:val="00D43A04"/>
    <w:rsid w:val="00D4669B"/>
    <w:rsid w:val="00D479B0"/>
    <w:rsid w:val="00D47F47"/>
    <w:rsid w:val="00D5009A"/>
    <w:rsid w:val="00D50E52"/>
    <w:rsid w:val="00D51B48"/>
    <w:rsid w:val="00D5593C"/>
    <w:rsid w:val="00D57038"/>
    <w:rsid w:val="00D57B14"/>
    <w:rsid w:val="00D6266F"/>
    <w:rsid w:val="00D627E8"/>
    <w:rsid w:val="00D64382"/>
    <w:rsid w:val="00D66A84"/>
    <w:rsid w:val="00D67E2F"/>
    <w:rsid w:val="00D737DE"/>
    <w:rsid w:val="00D75555"/>
    <w:rsid w:val="00D75DC9"/>
    <w:rsid w:val="00D773AF"/>
    <w:rsid w:val="00D77FE0"/>
    <w:rsid w:val="00D80902"/>
    <w:rsid w:val="00D81FE1"/>
    <w:rsid w:val="00D854CC"/>
    <w:rsid w:val="00D85503"/>
    <w:rsid w:val="00D85C87"/>
    <w:rsid w:val="00D86E5D"/>
    <w:rsid w:val="00D90BCA"/>
    <w:rsid w:val="00D90E4B"/>
    <w:rsid w:val="00D90F0C"/>
    <w:rsid w:val="00D9361A"/>
    <w:rsid w:val="00D97831"/>
    <w:rsid w:val="00D97EEC"/>
    <w:rsid w:val="00DA27F6"/>
    <w:rsid w:val="00DA2B27"/>
    <w:rsid w:val="00DA2BF0"/>
    <w:rsid w:val="00DA38D0"/>
    <w:rsid w:val="00DA3D5E"/>
    <w:rsid w:val="00DB0A5D"/>
    <w:rsid w:val="00DB0C44"/>
    <w:rsid w:val="00DB0CDA"/>
    <w:rsid w:val="00DB299F"/>
    <w:rsid w:val="00DB3FB6"/>
    <w:rsid w:val="00DB4C16"/>
    <w:rsid w:val="00DB6366"/>
    <w:rsid w:val="00DB64E5"/>
    <w:rsid w:val="00DB7541"/>
    <w:rsid w:val="00DB7DF3"/>
    <w:rsid w:val="00DC16AE"/>
    <w:rsid w:val="00DC1D61"/>
    <w:rsid w:val="00DC256A"/>
    <w:rsid w:val="00DC2EC1"/>
    <w:rsid w:val="00DC3292"/>
    <w:rsid w:val="00DC6CE9"/>
    <w:rsid w:val="00DC72D4"/>
    <w:rsid w:val="00DD1A26"/>
    <w:rsid w:val="00DD3A77"/>
    <w:rsid w:val="00DD72A2"/>
    <w:rsid w:val="00DE21AD"/>
    <w:rsid w:val="00DE515D"/>
    <w:rsid w:val="00DE625C"/>
    <w:rsid w:val="00DE6CC5"/>
    <w:rsid w:val="00DF0401"/>
    <w:rsid w:val="00DF1D6E"/>
    <w:rsid w:val="00DF45BA"/>
    <w:rsid w:val="00DF6C5A"/>
    <w:rsid w:val="00DF7B2D"/>
    <w:rsid w:val="00E0324B"/>
    <w:rsid w:val="00E03413"/>
    <w:rsid w:val="00E0389A"/>
    <w:rsid w:val="00E04BED"/>
    <w:rsid w:val="00E07A57"/>
    <w:rsid w:val="00E10480"/>
    <w:rsid w:val="00E111AF"/>
    <w:rsid w:val="00E14380"/>
    <w:rsid w:val="00E2082F"/>
    <w:rsid w:val="00E20C01"/>
    <w:rsid w:val="00E22433"/>
    <w:rsid w:val="00E23361"/>
    <w:rsid w:val="00E23D2C"/>
    <w:rsid w:val="00E24648"/>
    <w:rsid w:val="00E25011"/>
    <w:rsid w:val="00E256D6"/>
    <w:rsid w:val="00E26FAE"/>
    <w:rsid w:val="00E2754C"/>
    <w:rsid w:val="00E31C58"/>
    <w:rsid w:val="00E32158"/>
    <w:rsid w:val="00E327D9"/>
    <w:rsid w:val="00E36473"/>
    <w:rsid w:val="00E4042E"/>
    <w:rsid w:val="00E40DF2"/>
    <w:rsid w:val="00E4217D"/>
    <w:rsid w:val="00E43FE8"/>
    <w:rsid w:val="00E44175"/>
    <w:rsid w:val="00E4622D"/>
    <w:rsid w:val="00E472DF"/>
    <w:rsid w:val="00E51182"/>
    <w:rsid w:val="00E516C3"/>
    <w:rsid w:val="00E54737"/>
    <w:rsid w:val="00E615D1"/>
    <w:rsid w:val="00E62FC8"/>
    <w:rsid w:val="00E6544D"/>
    <w:rsid w:val="00E65800"/>
    <w:rsid w:val="00E67BE5"/>
    <w:rsid w:val="00E71020"/>
    <w:rsid w:val="00E71566"/>
    <w:rsid w:val="00E721E8"/>
    <w:rsid w:val="00E72EC4"/>
    <w:rsid w:val="00E736DA"/>
    <w:rsid w:val="00E750FE"/>
    <w:rsid w:val="00E7587B"/>
    <w:rsid w:val="00E8040C"/>
    <w:rsid w:val="00E8601D"/>
    <w:rsid w:val="00E860AD"/>
    <w:rsid w:val="00E86FB6"/>
    <w:rsid w:val="00E90B5A"/>
    <w:rsid w:val="00E90F25"/>
    <w:rsid w:val="00E916AB"/>
    <w:rsid w:val="00E948D6"/>
    <w:rsid w:val="00E961DE"/>
    <w:rsid w:val="00E96AE8"/>
    <w:rsid w:val="00E96B4E"/>
    <w:rsid w:val="00E97F20"/>
    <w:rsid w:val="00EA0852"/>
    <w:rsid w:val="00EA0926"/>
    <w:rsid w:val="00EA5140"/>
    <w:rsid w:val="00EA585F"/>
    <w:rsid w:val="00EA5C7E"/>
    <w:rsid w:val="00EA7DB9"/>
    <w:rsid w:val="00EB2136"/>
    <w:rsid w:val="00EB3852"/>
    <w:rsid w:val="00EB39B8"/>
    <w:rsid w:val="00EB7783"/>
    <w:rsid w:val="00EC2820"/>
    <w:rsid w:val="00EC50FE"/>
    <w:rsid w:val="00EC6693"/>
    <w:rsid w:val="00ED0911"/>
    <w:rsid w:val="00ED1BAA"/>
    <w:rsid w:val="00ED34AB"/>
    <w:rsid w:val="00ED59C9"/>
    <w:rsid w:val="00EE15BB"/>
    <w:rsid w:val="00EF38A7"/>
    <w:rsid w:val="00EF6F31"/>
    <w:rsid w:val="00F0036C"/>
    <w:rsid w:val="00F00D83"/>
    <w:rsid w:val="00F0143A"/>
    <w:rsid w:val="00F01697"/>
    <w:rsid w:val="00F03A00"/>
    <w:rsid w:val="00F07153"/>
    <w:rsid w:val="00F07F36"/>
    <w:rsid w:val="00F10416"/>
    <w:rsid w:val="00F10B5F"/>
    <w:rsid w:val="00F10CEA"/>
    <w:rsid w:val="00F11CC3"/>
    <w:rsid w:val="00F11D3F"/>
    <w:rsid w:val="00F12462"/>
    <w:rsid w:val="00F12962"/>
    <w:rsid w:val="00F12F53"/>
    <w:rsid w:val="00F13A65"/>
    <w:rsid w:val="00F13F88"/>
    <w:rsid w:val="00F1440D"/>
    <w:rsid w:val="00F146D5"/>
    <w:rsid w:val="00F1490B"/>
    <w:rsid w:val="00F14ADC"/>
    <w:rsid w:val="00F16235"/>
    <w:rsid w:val="00F17BA1"/>
    <w:rsid w:val="00F22D35"/>
    <w:rsid w:val="00F22E0C"/>
    <w:rsid w:val="00F22FDF"/>
    <w:rsid w:val="00F2586A"/>
    <w:rsid w:val="00F259B8"/>
    <w:rsid w:val="00F31D31"/>
    <w:rsid w:val="00F36327"/>
    <w:rsid w:val="00F4069F"/>
    <w:rsid w:val="00F411C4"/>
    <w:rsid w:val="00F42706"/>
    <w:rsid w:val="00F4341D"/>
    <w:rsid w:val="00F43441"/>
    <w:rsid w:val="00F4444E"/>
    <w:rsid w:val="00F4597A"/>
    <w:rsid w:val="00F459BC"/>
    <w:rsid w:val="00F45CE1"/>
    <w:rsid w:val="00F46C16"/>
    <w:rsid w:val="00F50984"/>
    <w:rsid w:val="00F51386"/>
    <w:rsid w:val="00F54776"/>
    <w:rsid w:val="00F5478D"/>
    <w:rsid w:val="00F55285"/>
    <w:rsid w:val="00F60C8E"/>
    <w:rsid w:val="00F61F49"/>
    <w:rsid w:val="00F63B19"/>
    <w:rsid w:val="00F6697C"/>
    <w:rsid w:val="00F7248B"/>
    <w:rsid w:val="00F72A69"/>
    <w:rsid w:val="00F733A3"/>
    <w:rsid w:val="00F74404"/>
    <w:rsid w:val="00F7579C"/>
    <w:rsid w:val="00F75EBA"/>
    <w:rsid w:val="00F81185"/>
    <w:rsid w:val="00F8213F"/>
    <w:rsid w:val="00F8272C"/>
    <w:rsid w:val="00F828D3"/>
    <w:rsid w:val="00F82D21"/>
    <w:rsid w:val="00F83403"/>
    <w:rsid w:val="00F849F6"/>
    <w:rsid w:val="00F86323"/>
    <w:rsid w:val="00F86345"/>
    <w:rsid w:val="00F874DE"/>
    <w:rsid w:val="00F87E7E"/>
    <w:rsid w:val="00F9198D"/>
    <w:rsid w:val="00F92A35"/>
    <w:rsid w:val="00F93F3B"/>
    <w:rsid w:val="00F96137"/>
    <w:rsid w:val="00FA1031"/>
    <w:rsid w:val="00FA143C"/>
    <w:rsid w:val="00FA1971"/>
    <w:rsid w:val="00FA6F1B"/>
    <w:rsid w:val="00FB113B"/>
    <w:rsid w:val="00FB3BE5"/>
    <w:rsid w:val="00FB4679"/>
    <w:rsid w:val="00FB5ACA"/>
    <w:rsid w:val="00FC0396"/>
    <w:rsid w:val="00FC2AED"/>
    <w:rsid w:val="00FC3A07"/>
    <w:rsid w:val="00FC4898"/>
    <w:rsid w:val="00FC5714"/>
    <w:rsid w:val="00FC5FE7"/>
    <w:rsid w:val="00FC64A9"/>
    <w:rsid w:val="00FC7638"/>
    <w:rsid w:val="00FD2869"/>
    <w:rsid w:val="00FD3A5E"/>
    <w:rsid w:val="00FD6CAD"/>
    <w:rsid w:val="00FD7FAC"/>
    <w:rsid w:val="00FE20D9"/>
    <w:rsid w:val="00FE485B"/>
    <w:rsid w:val="00FE5293"/>
    <w:rsid w:val="00FE557F"/>
    <w:rsid w:val="00FF2321"/>
    <w:rsid w:val="00FF305F"/>
    <w:rsid w:val="00FF31DB"/>
    <w:rsid w:val="00FF445E"/>
    <w:rsid w:val="00FF5388"/>
    <w:rsid w:val="00FF5A46"/>
    <w:rsid w:val="00FF5C47"/>
    <w:rsid w:val="00FF74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3409" fillcolor="silver" stroke="f">
      <v:fill color="silver" opacity="22938f"/>
      <v:stroke on="f"/>
      <v:shadow color="#868686"/>
      <o:colormru v:ext="edit" colors="#e2e2e2,#f5f5f5,#f1f1f1,#c1c1c1,#dedede,#ececec,#f9f9f9,#eee"/>
    </o:shapedefaults>
    <o:shapelayout v:ext="edit">
      <o:idmap v:ext="edit" data="1"/>
    </o:shapelayout>
  </w:shapeDefaults>
  <w:decimalSymbol w:val="."/>
  <w:listSeparator w:val=","/>
  <w14:docId w14:val="1B62E169"/>
  <w15:docId w15:val="{F6C3E6E3-2D95-4EA1-A98A-DF3661BEF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55B4"/>
    <w:rPr>
      <w:rFonts w:ascii="Arial" w:hAnsi="Arial"/>
      <w:sz w:val="22"/>
      <w:szCs w:val="22"/>
    </w:rPr>
  </w:style>
  <w:style w:type="paragraph" w:styleId="Heading2">
    <w:name w:val="heading 2"/>
    <w:basedOn w:val="Normal"/>
    <w:next w:val="Normal"/>
    <w:qFormat/>
    <w:rsid w:val="00774BEB"/>
    <w:pPr>
      <w:keepNext/>
      <w:outlineLvl w:val="1"/>
    </w:pPr>
    <w:rPr>
      <w:rFonts w:ascii="Times New Roman" w:hAnsi="Times New Roman"/>
      <w:b/>
      <w:szCs w:val="20"/>
      <w:u w:val="single"/>
    </w:rPr>
  </w:style>
  <w:style w:type="paragraph" w:styleId="Heading3">
    <w:name w:val="heading 3"/>
    <w:basedOn w:val="Normal"/>
    <w:next w:val="Normal"/>
    <w:qFormat/>
    <w:rsid w:val="00774BEB"/>
    <w:pPr>
      <w:keepNext/>
      <w:tabs>
        <w:tab w:val="num" w:pos="851"/>
      </w:tabs>
      <w:ind w:left="851" w:hanging="851"/>
      <w:outlineLvl w:val="2"/>
    </w:pPr>
    <w:rPr>
      <w:rFonts w:ascii="Times New Roman" w:hAnsi="Times New Roman"/>
      <w:b/>
      <w:sz w:val="20"/>
      <w:szCs w:val="20"/>
    </w:rPr>
  </w:style>
  <w:style w:type="paragraph" w:styleId="Heading4">
    <w:name w:val="heading 4"/>
    <w:basedOn w:val="Normal"/>
    <w:next w:val="Normal"/>
    <w:qFormat/>
    <w:rsid w:val="005D56AF"/>
    <w:pPr>
      <w:keepNext/>
      <w:numPr>
        <w:ilvl w:val="3"/>
        <w:numId w:val="1"/>
      </w:numPr>
      <w:spacing w:before="240" w:after="60"/>
      <w:outlineLvl w:val="3"/>
    </w:pPr>
    <w:rPr>
      <w:rFonts w:ascii="Times New Roman" w:hAnsi="Times New Roman"/>
      <w:b/>
      <w:bCs/>
      <w:sz w:val="28"/>
      <w:szCs w:val="28"/>
    </w:rPr>
  </w:style>
  <w:style w:type="paragraph" w:styleId="Heading7">
    <w:name w:val="heading 7"/>
    <w:basedOn w:val="Normal"/>
    <w:next w:val="Normal"/>
    <w:qFormat/>
    <w:rsid w:val="00774BEB"/>
    <w:pPr>
      <w:keepNext/>
      <w:tabs>
        <w:tab w:val="num" w:pos="5549"/>
      </w:tabs>
      <w:ind w:left="5549" w:hanging="1296"/>
      <w:outlineLvl w:val="6"/>
    </w:pPr>
    <w:rPr>
      <w:rFonts w:ascii="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Heading4"/>
    <w:rsid w:val="005D56AF"/>
    <w:pPr>
      <w:spacing w:before="0" w:after="0"/>
    </w:pPr>
    <w:rPr>
      <w:rFonts w:ascii="Arial" w:hAnsi="Arial"/>
      <w:bCs w:val="0"/>
      <w:sz w:val="22"/>
      <w:szCs w:val="20"/>
      <w:u w:val="single"/>
    </w:rPr>
  </w:style>
  <w:style w:type="table" w:styleId="TableGrid">
    <w:name w:val="Table Grid"/>
    <w:basedOn w:val="TableNormal"/>
    <w:uiPriority w:val="59"/>
    <w:rsid w:val="00774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774BEB"/>
    <w:pPr>
      <w:tabs>
        <w:tab w:val="center" w:pos="4153"/>
        <w:tab w:val="right" w:pos="8306"/>
      </w:tabs>
    </w:pPr>
  </w:style>
  <w:style w:type="paragraph" w:styleId="BodyTextIndent3">
    <w:name w:val="Body Text Indent 3"/>
    <w:basedOn w:val="Normal"/>
    <w:rsid w:val="00774BEB"/>
    <w:pPr>
      <w:ind w:left="709" w:hanging="709"/>
      <w:jc w:val="both"/>
    </w:pPr>
    <w:rPr>
      <w:szCs w:val="20"/>
    </w:rPr>
  </w:style>
  <w:style w:type="paragraph" w:styleId="ListContinue">
    <w:name w:val="List Continue"/>
    <w:basedOn w:val="Normal"/>
    <w:link w:val="ListContinueChar"/>
    <w:rsid w:val="00774BEB"/>
    <w:pPr>
      <w:spacing w:after="120"/>
      <w:ind w:left="283"/>
    </w:pPr>
    <w:rPr>
      <w:sz w:val="24"/>
    </w:rPr>
  </w:style>
  <w:style w:type="character" w:customStyle="1" w:styleId="ListContinueChar">
    <w:name w:val="List Continue Char"/>
    <w:link w:val="ListContinue"/>
    <w:rsid w:val="00774BEB"/>
    <w:rPr>
      <w:rFonts w:ascii="Arial" w:hAnsi="Arial"/>
      <w:sz w:val="24"/>
      <w:szCs w:val="22"/>
      <w:lang w:val="en-GB" w:eastAsia="en-GB" w:bidi="ar-SA"/>
    </w:rPr>
  </w:style>
  <w:style w:type="paragraph" w:styleId="ListNumber5">
    <w:name w:val="List Number 5"/>
    <w:basedOn w:val="Normal"/>
    <w:rsid w:val="00774BEB"/>
    <w:pPr>
      <w:numPr>
        <w:numId w:val="2"/>
      </w:numPr>
    </w:pPr>
    <w:rPr>
      <w:rFonts w:ascii="Times New Roman" w:hAnsi="Times New Roman"/>
      <w:sz w:val="24"/>
      <w:szCs w:val="20"/>
    </w:rPr>
  </w:style>
  <w:style w:type="character" w:styleId="CommentReference">
    <w:name w:val="annotation reference"/>
    <w:semiHidden/>
    <w:rsid w:val="00774BEB"/>
    <w:rPr>
      <w:sz w:val="16"/>
      <w:szCs w:val="16"/>
    </w:rPr>
  </w:style>
  <w:style w:type="paragraph" w:styleId="CommentText">
    <w:name w:val="annotation text"/>
    <w:basedOn w:val="Normal"/>
    <w:link w:val="CommentTextChar"/>
    <w:uiPriority w:val="99"/>
    <w:semiHidden/>
    <w:rsid w:val="00774BEB"/>
    <w:rPr>
      <w:sz w:val="20"/>
      <w:szCs w:val="20"/>
    </w:rPr>
  </w:style>
  <w:style w:type="paragraph" w:styleId="BalloonText">
    <w:name w:val="Balloon Text"/>
    <w:basedOn w:val="Normal"/>
    <w:semiHidden/>
    <w:rsid w:val="00774BEB"/>
    <w:rPr>
      <w:rFonts w:ascii="Tahoma" w:hAnsi="Tahoma" w:cs="Tahoma"/>
      <w:sz w:val="16"/>
      <w:szCs w:val="16"/>
    </w:rPr>
  </w:style>
  <w:style w:type="paragraph" w:styleId="Footer">
    <w:name w:val="footer"/>
    <w:basedOn w:val="Normal"/>
    <w:rsid w:val="00774BEB"/>
    <w:pPr>
      <w:tabs>
        <w:tab w:val="center" w:pos="4153"/>
        <w:tab w:val="right" w:pos="8306"/>
      </w:tabs>
    </w:pPr>
  </w:style>
  <w:style w:type="paragraph" w:styleId="BodyText2">
    <w:name w:val="Body Text 2"/>
    <w:basedOn w:val="Normal"/>
    <w:link w:val="BodyText2Char"/>
    <w:rsid w:val="003D2851"/>
    <w:pPr>
      <w:spacing w:after="120" w:line="480" w:lineRule="auto"/>
    </w:pPr>
  </w:style>
  <w:style w:type="character" w:styleId="PageNumber">
    <w:name w:val="page number"/>
    <w:basedOn w:val="DefaultParagraphFont"/>
    <w:rsid w:val="003D2851"/>
  </w:style>
  <w:style w:type="paragraph" w:customStyle="1" w:styleId="SUB-HEAD">
    <w:name w:val="SUB-HEAD"/>
    <w:basedOn w:val="Normal"/>
    <w:next w:val="Normal"/>
    <w:rsid w:val="003D2851"/>
    <w:pPr>
      <w:spacing w:after="240"/>
    </w:pPr>
    <w:rPr>
      <w:b/>
      <w:caps/>
      <w:szCs w:val="20"/>
      <w:lang w:val="en-US" w:eastAsia="en-US"/>
    </w:rPr>
  </w:style>
  <w:style w:type="paragraph" w:styleId="BodyTextIndent">
    <w:name w:val="Body Text Indent"/>
    <w:basedOn w:val="Normal"/>
    <w:rsid w:val="00571733"/>
    <w:pPr>
      <w:spacing w:after="120"/>
      <w:ind w:left="283"/>
    </w:pPr>
  </w:style>
  <w:style w:type="paragraph" w:styleId="Caption">
    <w:name w:val="caption"/>
    <w:basedOn w:val="Normal"/>
    <w:next w:val="Normal"/>
    <w:uiPriority w:val="35"/>
    <w:semiHidden/>
    <w:unhideWhenUsed/>
    <w:qFormat/>
    <w:rsid w:val="00A77412"/>
    <w:rPr>
      <w:b/>
      <w:bCs/>
      <w:sz w:val="20"/>
      <w:szCs w:val="20"/>
    </w:rPr>
  </w:style>
  <w:style w:type="paragraph" w:styleId="ListParagraph">
    <w:name w:val="List Paragraph"/>
    <w:basedOn w:val="Normal"/>
    <w:uiPriority w:val="34"/>
    <w:qFormat/>
    <w:rsid w:val="000E098B"/>
    <w:pPr>
      <w:ind w:left="720"/>
      <w:contextualSpacing/>
    </w:pPr>
  </w:style>
  <w:style w:type="character" w:customStyle="1" w:styleId="BodyText2Char">
    <w:name w:val="Body Text 2 Char"/>
    <w:link w:val="BodyText2"/>
    <w:rsid w:val="00717184"/>
    <w:rPr>
      <w:rFonts w:ascii="Arial" w:hAnsi="Arial"/>
      <w:sz w:val="22"/>
      <w:szCs w:val="22"/>
    </w:rPr>
  </w:style>
  <w:style w:type="table" w:customStyle="1" w:styleId="TableGrid1">
    <w:name w:val="Table Grid1"/>
    <w:basedOn w:val="TableNormal"/>
    <w:uiPriority w:val="59"/>
    <w:rsid w:val="00405663"/>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B5ACA"/>
    <w:pPr>
      <w:autoSpaceDE w:val="0"/>
      <w:autoSpaceDN w:val="0"/>
      <w:adjustRightInd w:val="0"/>
    </w:pPr>
    <w:rPr>
      <w:rFonts w:ascii="Arial" w:hAnsi="Arial" w:cs="Arial"/>
      <w:color w:val="000000"/>
      <w:sz w:val="24"/>
      <w:szCs w:val="24"/>
    </w:rPr>
  </w:style>
  <w:style w:type="character" w:customStyle="1" w:styleId="e24kjd">
    <w:name w:val="e24kjd"/>
    <w:basedOn w:val="DefaultParagraphFont"/>
    <w:rsid w:val="009F1733"/>
  </w:style>
  <w:style w:type="paragraph" w:customStyle="1" w:styleId="INDENT1">
    <w:name w:val="INDENT 1"/>
    <w:basedOn w:val="Normal"/>
    <w:rsid w:val="000F1408"/>
    <w:pPr>
      <w:widowControl w:val="0"/>
      <w:ind w:left="720" w:hanging="720"/>
      <w:jc w:val="both"/>
    </w:pPr>
    <w:rPr>
      <w:rFonts w:eastAsia="Arial" w:cs="Arial"/>
      <w:color w:val="000000"/>
      <w:sz w:val="20"/>
      <w:szCs w:val="20"/>
    </w:rPr>
  </w:style>
  <w:style w:type="character" w:customStyle="1" w:styleId="greenfont2">
    <w:name w:val="green_font2"/>
    <w:basedOn w:val="DefaultParagraphFont"/>
    <w:rsid w:val="002A7101"/>
    <w:rPr>
      <w:color w:val="009E99"/>
    </w:rPr>
  </w:style>
  <w:style w:type="character" w:styleId="Hyperlink">
    <w:name w:val="Hyperlink"/>
    <w:basedOn w:val="DefaultParagraphFont"/>
    <w:uiPriority w:val="99"/>
    <w:unhideWhenUsed/>
    <w:rsid w:val="002231BB"/>
    <w:rPr>
      <w:color w:val="0000FF" w:themeColor="hyperlink"/>
      <w:u w:val="single"/>
    </w:rPr>
  </w:style>
  <w:style w:type="character" w:styleId="Emphasis">
    <w:name w:val="Emphasis"/>
    <w:basedOn w:val="DefaultParagraphFont"/>
    <w:uiPriority w:val="20"/>
    <w:qFormat/>
    <w:rsid w:val="002231BB"/>
    <w:rPr>
      <w:i/>
      <w:iCs/>
    </w:rPr>
  </w:style>
  <w:style w:type="character" w:customStyle="1" w:styleId="tel4">
    <w:name w:val="tel4"/>
    <w:rsid w:val="00FA6F1B"/>
    <w:rPr>
      <w:b/>
      <w:bCs/>
      <w:vanish w:val="0"/>
      <w:webHidden w:val="0"/>
      <w:color w:val="3E3E3E"/>
      <w:sz w:val="48"/>
      <w:szCs w:val="48"/>
      <w:specVanish w:val="0"/>
    </w:rPr>
  </w:style>
  <w:style w:type="character" w:customStyle="1" w:styleId="HeaderChar">
    <w:name w:val="Header Char"/>
    <w:basedOn w:val="DefaultParagraphFont"/>
    <w:link w:val="Header"/>
    <w:uiPriority w:val="99"/>
    <w:rsid w:val="00DD1A26"/>
    <w:rPr>
      <w:rFonts w:ascii="Arial" w:hAnsi="Arial"/>
      <w:sz w:val="22"/>
      <w:szCs w:val="22"/>
    </w:rPr>
  </w:style>
  <w:style w:type="paragraph" w:styleId="CommentSubject">
    <w:name w:val="annotation subject"/>
    <w:basedOn w:val="CommentText"/>
    <w:next w:val="CommentText"/>
    <w:link w:val="CommentSubjectChar"/>
    <w:uiPriority w:val="99"/>
    <w:semiHidden/>
    <w:unhideWhenUsed/>
    <w:rsid w:val="00113264"/>
    <w:rPr>
      <w:b/>
      <w:bCs/>
    </w:rPr>
  </w:style>
  <w:style w:type="character" w:customStyle="1" w:styleId="CommentTextChar">
    <w:name w:val="Comment Text Char"/>
    <w:basedOn w:val="DefaultParagraphFont"/>
    <w:link w:val="CommentText"/>
    <w:uiPriority w:val="99"/>
    <w:semiHidden/>
    <w:rsid w:val="00113264"/>
    <w:rPr>
      <w:rFonts w:ascii="Arial" w:hAnsi="Arial"/>
    </w:rPr>
  </w:style>
  <w:style w:type="character" w:customStyle="1" w:styleId="CommentSubjectChar">
    <w:name w:val="Comment Subject Char"/>
    <w:basedOn w:val="CommentTextChar"/>
    <w:link w:val="CommentSubject"/>
    <w:uiPriority w:val="99"/>
    <w:semiHidden/>
    <w:rsid w:val="00113264"/>
    <w:rPr>
      <w:rFonts w:ascii="Arial" w:hAnsi="Arial"/>
      <w:b/>
      <w:bCs/>
    </w:rPr>
  </w:style>
  <w:style w:type="character" w:customStyle="1" w:styleId="A30">
    <w:name w:val="A30"/>
    <w:uiPriority w:val="99"/>
    <w:rsid w:val="00A21F7A"/>
    <w:rPr>
      <w:rFonts w:cs="Corbel"/>
      <w:b/>
      <w:bCs/>
      <w:color w:val="000000"/>
      <w:sz w:val="21"/>
      <w:szCs w:val="21"/>
    </w:rPr>
  </w:style>
  <w:style w:type="character" w:styleId="FollowedHyperlink">
    <w:name w:val="FollowedHyperlink"/>
    <w:basedOn w:val="DefaultParagraphFont"/>
    <w:uiPriority w:val="99"/>
    <w:semiHidden/>
    <w:unhideWhenUsed/>
    <w:rsid w:val="00326C4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869869">
      <w:bodyDiv w:val="1"/>
      <w:marLeft w:val="0"/>
      <w:marRight w:val="0"/>
      <w:marTop w:val="0"/>
      <w:marBottom w:val="0"/>
      <w:divBdr>
        <w:top w:val="none" w:sz="0" w:space="0" w:color="auto"/>
        <w:left w:val="none" w:sz="0" w:space="0" w:color="auto"/>
        <w:bottom w:val="none" w:sz="0" w:space="0" w:color="auto"/>
        <w:right w:val="none" w:sz="0" w:space="0" w:color="auto"/>
      </w:divBdr>
    </w:div>
    <w:div w:id="330564825">
      <w:bodyDiv w:val="1"/>
      <w:marLeft w:val="0"/>
      <w:marRight w:val="0"/>
      <w:marTop w:val="0"/>
      <w:marBottom w:val="0"/>
      <w:divBdr>
        <w:top w:val="none" w:sz="0" w:space="0" w:color="auto"/>
        <w:left w:val="none" w:sz="0" w:space="0" w:color="auto"/>
        <w:bottom w:val="none" w:sz="0" w:space="0" w:color="auto"/>
        <w:right w:val="none" w:sz="0" w:space="0" w:color="auto"/>
      </w:divBdr>
    </w:div>
    <w:div w:id="578028091">
      <w:bodyDiv w:val="1"/>
      <w:marLeft w:val="0"/>
      <w:marRight w:val="0"/>
      <w:marTop w:val="0"/>
      <w:marBottom w:val="0"/>
      <w:divBdr>
        <w:top w:val="none" w:sz="0" w:space="0" w:color="auto"/>
        <w:left w:val="none" w:sz="0" w:space="0" w:color="auto"/>
        <w:bottom w:val="none" w:sz="0" w:space="0" w:color="auto"/>
        <w:right w:val="none" w:sz="0" w:space="0" w:color="auto"/>
      </w:divBdr>
    </w:div>
    <w:div w:id="664553821">
      <w:bodyDiv w:val="1"/>
      <w:marLeft w:val="0"/>
      <w:marRight w:val="0"/>
      <w:marTop w:val="0"/>
      <w:marBottom w:val="0"/>
      <w:divBdr>
        <w:top w:val="none" w:sz="0" w:space="0" w:color="auto"/>
        <w:left w:val="none" w:sz="0" w:space="0" w:color="auto"/>
        <w:bottom w:val="none" w:sz="0" w:space="0" w:color="auto"/>
        <w:right w:val="none" w:sz="0" w:space="0" w:color="auto"/>
      </w:divBdr>
    </w:div>
    <w:div w:id="768625801">
      <w:bodyDiv w:val="1"/>
      <w:marLeft w:val="0"/>
      <w:marRight w:val="0"/>
      <w:marTop w:val="0"/>
      <w:marBottom w:val="0"/>
      <w:divBdr>
        <w:top w:val="none" w:sz="0" w:space="0" w:color="auto"/>
        <w:left w:val="none" w:sz="0" w:space="0" w:color="auto"/>
        <w:bottom w:val="none" w:sz="0" w:space="0" w:color="auto"/>
        <w:right w:val="none" w:sz="0" w:space="0" w:color="auto"/>
      </w:divBdr>
    </w:div>
    <w:div w:id="862329893">
      <w:bodyDiv w:val="1"/>
      <w:marLeft w:val="0"/>
      <w:marRight w:val="0"/>
      <w:marTop w:val="0"/>
      <w:marBottom w:val="0"/>
      <w:divBdr>
        <w:top w:val="none" w:sz="0" w:space="0" w:color="auto"/>
        <w:left w:val="none" w:sz="0" w:space="0" w:color="auto"/>
        <w:bottom w:val="none" w:sz="0" w:space="0" w:color="auto"/>
        <w:right w:val="none" w:sz="0" w:space="0" w:color="auto"/>
      </w:divBdr>
    </w:div>
    <w:div w:id="1051810412">
      <w:bodyDiv w:val="1"/>
      <w:marLeft w:val="0"/>
      <w:marRight w:val="0"/>
      <w:marTop w:val="0"/>
      <w:marBottom w:val="0"/>
      <w:divBdr>
        <w:top w:val="none" w:sz="0" w:space="0" w:color="auto"/>
        <w:left w:val="none" w:sz="0" w:space="0" w:color="auto"/>
        <w:bottom w:val="none" w:sz="0" w:space="0" w:color="auto"/>
        <w:right w:val="none" w:sz="0" w:space="0" w:color="auto"/>
      </w:divBdr>
    </w:div>
    <w:div w:id="1092162397">
      <w:bodyDiv w:val="1"/>
      <w:marLeft w:val="0"/>
      <w:marRight w:val="0"/>
      <w:marTop w:val="0"/>
      <w:marBottom w:val="0"/>
      <w:divBdr>
        <w:top w:val="none" w:sz="0" w:space="0" w:color="auto"/>
        <w:left w:val="none" w:sz="0" w:space="0" w:color="auto"/>
        <w:bottom w:val="none" w:sz="0" w:space="0" w:color="auto"/>
        <w:right w:val="none" w:sz="0" w:space="0" w:color="auto"/>
      </w:divBdr>
    </w:div>
    <w:div w:id="1195077243">
      <w:bodyDiv w:val="1"/>
      <w:marLeft w:val="0"/>
      <w:marRight w:val="0"/>
      <w:marTop w:val="0"/>
      <w:marBottom w:val="0"/>
      <w:divBdr>
        <w:top w:val="none" w:sz="0" w:space="0" w:color="auto"/>
        <w:left w:val="none" w:sz="0" w:space="0" w:color="auto"/>
        <w:bottom w:val="none" w:sz="0" w:space="0" w:color="auto"/>
        <w:right w:val="none" w:sz="0" w:space="0" w:color="auto"/>
      </w:divBdr>
    </w:div>
    <w:div w:id="1828859508">
      <w:bodyDiv w:val="1"/>
      <w:marLeft w:val="0"/>
      <w:marRight w:val="0"/>
      <w:marTop w:val="0"/>
      <w:marBottom w:val="0"/>
      <w:divBdr>
        <w:top w:val="none" w:sz="0" w:space="0" w:color="auto"/>
        <w:left w:val="none" w:sz="0" w:space="0" w:color="auto"/>
        <w:bottom w:val="none" w:sz="0" w:space="0" w:color="auto"/>
        <w:right w:val="none" w:sz="0" w:space="0" w:color="auto"/>
      </w:divBdr>
    </w:div>
    <w:div w:id="1834642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40C72E3E0824BEC87DBC7FD8E9896FD"/>
        <w:category>
          <w:name w:val="General"/>
          <w:gallery w:val="placeholder"/>
        </w:category>
        <w:types>
          <w:type w:val="bbPlcHdr"/>
        </w:types>
        <w:behaviors>
          <w:behavior w:val="content"/>
        </w:behaviors>
        <w:guid w:val="{8BAA4179-5947-4E7A-8161-F35C37226335}"/>
      </w:docPartPr>
      <w:docPartBody>
        <w:p w:rsidR="00000000" w:rsidRDefault="00EE3C27" w:rsidP="00EE3C27">
          <w:pPr>
            <w:pStyle w:val="940C72E3E0824BEC87DBC7FD8E9896FD"/>
          </w:pPr>
          <w:r>
            <w:rPr>
              <w:color w:val="7F7F7F" w:themeColor="text1" w:themeTint="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C27"/>
    <w:rsid w:val="00EE3C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40C72E3E0824BEC87DBC7FD8E9896FD">
    <w:name w:val="940C72E3E0824BEC87DBC7FD8E9896FD"/>
    <w:rsid w:val="00EE3C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565ABE-6D2B-47A8-8534-D699DB9E3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12</Pages>
  <Words>4847</Words>
  <Characters>26590</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31375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1</dc:title>
  <dc:creator>User</dc:creator>
  <cp:lastModifiedBy>Astbury, Coral</cp:lastModifiedBy>
  <cp:revision>8</cp:revision>
  <cp:lastPrinted>2020-02-12T14:50:00Z</cp:lastPrinted>
  <dcterms:created xsi:type="dcterms:W3CDTF">2020-06-08T15:21:00Z</dcterms:created>
  <dcterms:modified xsi:type="dcterms:W3CDTF">2020-06-10T20:38:00Z</dcterms:modified>
</cp:coreProperties>
</file>